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5DE3" w14:textId="3B302E5B" w:rsidR="00E76EC3" w:rsidRDefault="00E76EC3" w:rsidP="00E76EC3">
      <w:pPr>
        <w:jc w:val="center"/>
        <w:rPr>
          <w:b/>
          <w:sz w:val="48"/>
          <w:szCs w:val="48"/>
        </w:rPr>
      </w:pPr>
      <w:r>
        <w:rPr>
          <w:b/>
          <w:sz w:val="48"/>
          <w:szCs w:val="48"/>
        </w:rPr>
        <w:t>Facility Fee Schedule</w:t>
      </w:r>
    </w:p>
    <w:p w14:paraId="0B01B0DE" w14:textId="56AD46EC" w:rsidR="004611E1" w:rsidRPr="00D466F5" w:rsidRDefault="00E76EC3" w:rsidP="00565B25">
      <w:pPr>
        <w:ind w:left="2880" w:firstLine="720"/>
        <w:rPr>
          <w:b/>
          <w:sz w:val="48"/>
          <w:szCs w:val="48"/>
        </w:rPr>
      </w:pPr>
      <w:r w:rsidRPr="00D466F5">
        <w:rPr>
          <w:b/>
          <w:sz w:val="48"/>
          <w:szCs w:val="48"/>
        </w:rPr>
        <w:t>Instruction Set</w:t>
      </w:r>
      <w:r w:rsidR="00826D08" w:rsidRPr="00D466F5">
        <w:rPr>
          <w:b/>
          <w:sz w:val="48"/>
          <w:szCs w:val="48"/>
        </w:rPr>
        <w:t xml:space="preserve"> </w:t>
      </w:r>
    </w:p>
    <w:p w14:paraId="79FA6EE2" w14:textId="687C0654" w:rsidR="00E76EC3" w:rsidRPr="00D466F5" w:rsidRDefault="004611E1" w:rsidP="00E76EC3">
      <w:pPr>
        <w:jc w:val="center"/>
        <w:rPr>
          <w:b/>
          <w:sz w:val="48"/>
          <w:szCs w:val="48"/>
        </w:rPr>
      </w:pPr>
      <w:r w:rsidRPr="00D466F5">
        <w:rPr>
          <w:b/>
          <w:sz w:val="48"/>
          <w:szCs w:val="48"/>
        </w:rPr>
        <w:t xml:space="preserve">Effective </w:t>
      </w:r>
      <w:r w:rsidR="00826D08" w:rsidRPr="00D466F5">
        <w:rPr>
          <w:b/>
          <w:sz w:val="48"/>
          <w:szCs w:val="48"/>
        </w:rPr>
        <w:t>July 1</w:t>
      </w:r>
      <w:r w:rsidR="003310C2" w:rsidRPr="00D466F5">
        <w:rPr>
          <w:b/>
          <w:sz w:val="48"/>
          <w:szCs w:val="48"/>
        </w:rPr>
        <w:t>,</w:t>
      </w:r>
      <w:r w:rsidR="00A259B6" w:rsidRPr="00D466F5">
        <w:rPr>
          <w:b/>
          <w:sz w:val="48"/>
          <w:szCs w:val="48"/>
        </w:rPr>
        <w:t xml:space="preserve"> </w:t>
      </w:r>
      <w:r w:rsidR="00267C42">
        <w:rPr>
          <w:b/>
          <w:sz w:val="48"/>
          <w:szCs w:val="48"/>
        </w:rPr>
        <w:t>2024</w:t>
      </w:r>
    </w:p>
    <w:p w14:paraId="32F52171" w14:textId="77777777" w:rsidR="002B0ACA" w:rsidRDefault="002B0ACA" w:rsidP="00E76EC3">
      <w:pPr>
        <w:jc w:val="center"/>
        <w:rPr>
          <w:b/>
          <w:sz w:val="48"/>
          <w:szCs w:val="48"/>
        </w:rPr>
      </w:pPr>
    </w:p>
    <w:p w14:paraId="177CDCA0" w14:textId="77777777" w:rsidR="00E76EC3" w:rsidRDefault="00E76EC3" w:rsidP="00E76EC3">
      <w:pPr>
        <w:jc w:val="center"/>
        <w:rPr>
          <w:b/>
          <w:sz w:val="32"/>
          <w:szCs w:val="32"/>
        </w:rPr>
      </w:pPr>
      <w:r>
        <w:rPr>
          <w:b/>
          <w:sz w:val="32"/>
          <w:szCs w:val="32"/>
        </w:rPr>
        <w:t>Table of Contents</w:t>
      </w:r>
    </w:p>
    <w:p w14:paraId="2C2897CE" w14:textId="0DF1D256" w:rsidR="00E76EC3" w:rsidRDefault="00181632" w:rsidP="00181632">
      <w:pPr>
        <w:tabs>
          <w:tab w:val="left" w:pos="8145"/>
        </w:tabs>
        <w:rPr>
          <w:b/>
          <w:sz w:val="32"/>
          <w:szCs w:val="32"/>
        </w:rPr>
      </w:pPr>
      <w:r>
        <w:rPr>
          <w:b/>
          <w:sz w:val="32"/>
          <w:szCs w:val="32"/>
        </w:rPr>
        <w:tab/>
      </w:r>
    </w:p>
    <w:p w14:paraId="571964AC" w14:textId="2960F53C" w:rsidR="00741337" w:rsidRDefault="006E07EC">
      <w:pPr>
        <w:pStyle w:val="TOC1"/>
        <w:rPr>
          <w:rFonts w:eastAsiaTheme="minorEastAsia" w:cstheme="minorBidi"/>
          <w:b w:val="0"/>
          <w:bCs w:val="0"/>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34916585" w:history="1">
        <w:r w:rsidR="00741337" w:rsidRPr="00F3050E">
          <w:rPr>
            <w:rStyle w:val="Hyperlink"/>
          </w:rPr>
          <w:t>Section One: Introduction</w:t>
        </w:r>
        <w:r w:rsidR="00741337">
          <w:rPr>
            <w:webHidden/>
          </w:rPr>
          <w:tab/>
        </w:r>
        <w:r w:rsidR="00741337">
          <w:rPr>
            <w:webHidden/>
          </w:rPr>
          <w:fldChar w:fldCharType="begin"/>
        </w:r>
        <w:r w:rsidR="00741337">
          <w:rPr>
            <w:webHidden/>
          </w:rPr>
          <w:instrText xml:space="preserve"> PAGEREF _Toc34916585 \h </w:instrText>
        </w:r>
        <w:r w:rsidR="00741337">
          <w:rPr>
            <w:webHidden/>
          </w:rPr>
        </w:r>
        <w:r w:rsidR="00741337">
          <w:rPr>
            <w:webHidden/>
          </w:rPr>
          <w:fldChar w:fldCharType="separate"/>
        </w:r>
        <w:r w:rsidR="00741337">
          <w:rPr>
            <w:webHidden/>
          </w:rPr>
          <w:t>3</w:t>
        </w:r>
        <w:r w:rsidR="00741337">
          <w:rPr>
            <w:webHidden/>
          </w:rPr>
          <w:fldChar w:fldCharType="end"/>
        </w:r>
      </w:hyperlink>
    </w:p>
    <w:p w14:paraId="04380F00" w14:textId="0D47773F" w:rsidR="00741337" w:rsidRDefault="00000000">
      <w:pPr>
        <w:pStyle w:val="TOC2"/>
        <w:rPr>
          <w:rFonts w:eastAsiaTheme="minorEastAsia" w:cstheme="minorBidi"/>
          <w:i w:val="0"/>
          <w:iCs w:val="0"/>
          <w:sz w:val="22"/>
          <w:szCs w:val="22"/>
        </w:rPr>
      </w:pPr>
      <w:hyperlink w:anchor="_Toc34916586" w:history="1">
        <w:r w:rsidR="00741337" w:rsidRPr="00F3050E">
          <w:rPr>
            <w:rStyle w:val="Hyperlink"/>
          </w:rPr>
          <w:t>Background</w:t>
        </w:r>
        <w:r w:rsidR="00741337">
          <w:rPr>
            <w:webHidden/>
          </w:rPr>
          <w:tab/>
        </w:r>
        <w:r w:rsidR="00741337">
          <w:rPr>
            <w:webHidden/>
          </w:rPr>
          <w:fldChar w:fldCharType="begin"/>
        </w:r>
        <w:r w:rsidR="00741337">
          <w:rPr>
            <w:webHidden/>
          </w:rPr>
          <w:instrText xml:space="preserve"> PAGEREF _Toc34916586 \h </w:instrText>
        </w:r>
        <w:r w:rsidR="00741337">
          <w:rPr>
            <w:webHidden/>
          </w:rPr>
        </w:r>
        <w:r w:rsidR="00741337">
          <w:rPr>
            <w:webHidden/>
          </w:rPr>
          <w:fldChar w:fldCharType="separate"/>
        </w:r>
        <w:r w:rsidR="00741337">
          <w:rPr>
            <w:webHidden/>
          </w:rPr>
          <w:t>3</w:t>
        </w:r>
        <w:r w:rsidR="00741337">
          <w:rPr>
            <w:webHidden/>
          </w:rPr>
          <w:fldChar w:fldCharType="end"/>
        </w:r>
      </w:hyperlink>
    </w:p>
    <w:p w14:paraId="75A437C8" w14:textId="4465D133" w:rsidR="00741337" w:rsidRDefault="00000000">
      <w:pPr>
        <w:pStyle w:val="TOC2"/>
        <w:rPr>
          <w:rFonts w:eastAsiaTheme="minorEastAsia" w:cstheme="minorBidi"/>
          <w:i w:val="0"/>
          <w:iCs w:val="0"/>
          <w:sz w:val="22"/>
          <w:szCs w:val="22"/>
        </w:rPr>
      </w:pPr>
      <w:hyperlink w:anchor="_Toc34916587" w:history="1">
        <w:r w:rsidR="00741337" w:rsidRPr="00F3050E">
          <w:rPr>
            <w:rStyle w:val="Hyperlink"/>
          </w:rPr>
          <w:t>Related Terminology</w:t>
        </w:r>
        <w:r w:rsidR="00741337">
          <w:rPr>
            <w:webHidden/>
          </w:rPr>
          <w:tab/>
        </w:r>
        <w:r w:rsidR="00741337">
          <w:rPr>
            <w:webHidden/>
          </w:rPr>
          <w:fldChar w:fldCharType="begin"/>
        </w:r>
        <w:r w:rsidR="00741337">
          <w:rPr>
            <w:webHidden/>
          </w:rPr>
          <w:instrText xml:space="preserve"> PAGEREF _Toc34916587 \h </w:instrText>
        </w:r>
        <w:r w:rsidR="00741337">
          <w:rPr>
            <w:webHidden/>
          </w:rPr>
        </w:r>
        <w:r w:rsidR="00741337">
          <w:rPr>
            <w:webHidden/>
          </w:rPr>
          <w:fldChar w:fldCharType="separate"/>
        </w:r>
        <w:r w:rsidR="00741337">
          <w:rPr>
            <w:webHidden/>
          </w:rPr>
          <w:t>3</w:t>
        </w:r>
        <w:r w:rsidR="00741337">
          <w:rPr>
            <w:webHidden/>
          </w:rPr>
          <w:fldChar w:fldCharType="end"/>
        </w:r>
      </w:hyperlink>
    </w:p>
    <w:p w14:paraId="37FCEA1E" w14:textId="161C6F73" w:rsidR="00741337" w:rsidRDefault="00000000">
      <w:pPr>
        <w:pStyle w:val="TOC2"/>
        <w:rPr>
          <w:rFonts w:eastAsiaTheme="minorEastAsia" w:cstheme="minorBidi"/>
          <w:i w:val="0"/>
          <w:iCs w:val="0"/>
          <w:sz w:val="22"/>
          <w:szCs w:val="22"/>
        </w:rPr>
      </w:pPr>
      <w:hyperlink w:anchor="_Toc34916588" w:history="1">
        <w:r w:rsidR="00741337" w:rsidRPr="00F3050E">
          <w:rPr>
            <w:rStyle w:val="Hyperlink"/>
          </w:rPr>
          <w:t>Components in Montana WC Facility Fee Schedule</w:t>
        </w:r>
        <w:r w:rsidR="00741337">
          <w:rPr>
            <w:webHidden/>
          </w:rPr>
          <w:tab/>
        </w:r>
        <w:r w:rsidR="00741337">
          <w:rPr>
            <w:webHidden/>
          </w:rPr>
          <w:fldChar w:fldCharType="begin"/>
        </w:r>
        <w:r w:rsidR="00741337">
          <w:rPr>
            <w:webHidden/>
          </w:rPr>
          <w:instrText xml:space="preserve"> PAGEREF _Toc34916588 \h </w:instrText>
        </w:r>
        <w:r w:rsidR="00741337">
          <w:rPr>
            <w:webHidden/>
          </w:rPr>
        </w:r>
        <w:r w:rsidR="00741337">
          <w:rPr>
            <w:webHidden/>
          </w:rPr>
          <w:fldChar w:fldCharType="separate"/>
        </w:r>
        <w:r w:rsidR="00741337">
          <w:rPr>
            <w:webHidden/>
          </w:rPr>
          <w:t>6</w:t>
        </w:r>
        <w:r w:rsidR="00741337">
          <w:rPr>
            <w:webHidden/>
          </w:rPr>
          <w:fldChar w:fldCharType="end"/>
        </w:r>
      </w:hyperlink>
    </w:p>
    <w:p w14:paraId="7CAE617A" w14:textId="6D46D6B0" w:rsidR="00741337" w:rsidRDefault="00000000">
      <w:pPr>
        <w:pStyle w:val="TOC2"/>
        <w:rPr>
          <w:rFonts w:eastAsiaTheme="minorEastAsia" w:cstheme="minorBidi"/>
          <w:i w:val="0"/>
          <w:iCs w:val="0"/>
          <w:sz w:val="22"/>
          <w:szCs w:val="22"/>
        </w:rPr>
      </w:pPr>
      <w:hyperlink w:anchor="_Toc34916589" w:history="1">
        <w:r w:rsidR="00741337" w:rsidRPr="00F3050E">
          <w:rPr>
            <w:rStyle w:val="Hyperlink"/>
            <w:lang w:val="en-GB"/>
          </w:rPr>
          <w:t>Facility Fee Schedule Archives</w:t>
        </w:r>
        <w:r w:rsidR="00741337">
          <w:rPr>
            <w:webHidden/>
          </w:rPr>
          <w:tab/>
        </w:r>
        <w:r w:rsidR="00741337">
          <w:rPr>
            <w:webHidden/>
          </w:rPr>
          <w:fldChar w:fldCharType="begin"/>
        </w:r>
        <w:r w:rsidR="00741337">
          <w:rPr>
            <w:webHidden/>
          </w:rPr>
          <w:instrText xml:space="preserve"> PAGEREF _Toc34916589 \h </w:instrText>
        </w:r>
        <w:r w:rsidR="00741337">
          <w:rPr>
            <w:webHidden/>
          </w:rPr>
        </w:r>
        <w:r w:rsidR="00741337">
          <w:rPr>
            <w:webHidden/>
          </w:rPr>
          <w:fldChar w:fldCharType="separate"/>
        </w:r>
        <w:r w:rsidR="00741337">
          <w:rPr>
            <w:webHidden/>
          </w:rPr>
          <w:t>8</w:t>
        </w:r>
        <w:r w:rsidR="00741337">
          <w:rPr>
            <w:webHidden/>
          </w:rPr>
          <w:fldChar w:fldCharType="end"/>
        </w:r>
      </w:hyperlink>
    </w:p>
    <w:p w14:paraId="48DE8AB1" w14:textId="262D58D1" w:rsidR="00741337" w:rsidRDefault="00000000">
      <w:pPr>
        <w:pStyle w:val="TOC1"/>
        <w:rPr>
          <w:rFonts w:eastAsiaTheme="minorEastAsia" w:cstheme="minorBidi"/>
          <w:b w:val="0"/>
          <w:bCs w:val="0"/>
          <w:sz w:val="22"/>
          <w:szCs w:val="22"/>
        </w:rPr>
      </w:pPr>
      <w:hyperlink w:anchor="_Toc34916590" w:history="1">
        <w:r w:rsidR="00741337" w:rsidRPr="00F3050E">
          <w:rPr>
            <w:rStyle w:val="Hyperlink"/>
          </w:rPr>
          <w:t>Section Two:  General Instructions</w:t>
        </w:r>
        <w:r w:rsidR="00741337">
          <w:rPr>
            <w:webHidden/>
          </w:rPr>
          <w:tab/>
        </w:r>
        <w:r w:rsidR="00741337">
          <w:rPr>
            <w:webHidden/>
          </w:rPr>
          <w:fldChar w:fldCharType="begin"/>
        </w:r>
        <w:r w:rsidR="00741337">
          <w:rPr>
            <w:webHidden/>
          </w:rPr>
          <w:instrText xml:space="preserve"> PAGEREF _Toc34916590 \h </w:instrText>
        </w:r>
        <w:r w:rsidR="00741337">
          <w:rPr>
            <w:webHidden/>
          </w:rPr>
        </w:r>
        <w:r w:rsidR="00741337">
          <w:rPr>
            <w:webHidden/>
          </w:rPr>
          <w:fldChar w:fldCharType="separate"/>
        </w:r>
        <w:r w:rsidR="00741337">
          <w:rPr>
            <w:webHidden/>
          </w:rPr>
          <w:t>8</w:t>
        </w:r>
        <w:r w:rsidR="00741337">
          <w:rPr>
            <w:webHidden/>
          </w:rPr>
          <w:fldChar w:fldCharType="end"/>
        </w:r>
      </w:hyperlink>
    </w:p>
    <w:p w14:paraId="1C7B8E6E" w14:textId="3A172027" w:rsidR="00741337" w:rsidRDefault="00000000">
      <w:pPr>
        <w:pStyle w:val="TOC2"/>
        <w:rPr>
          <w:rFonts w:eastAsiaTheme="minorEastAsia" w:cstheme="minorBidi"/>
          <w:i w:val="0"/>
          <w:iCs w:val="0"/>
          <w:sz w:val="22"/>
          <w:szCs w:val="22"/>
        </w:rPr>
      </w:pPr>
      <w:hyperlink w:anchor="_Toc34916591" w:history="1">
        <w:r w:rsidR="00741337" w:rsidRPr="00F3050E">
          <w:rPr>
            <w:rStyle w:val="Hyperlink"/>
          </w:rPr>
          <w:t>Ambulance Services</w:t>
        </w:r>
        <w:r w:rsidR="00741337">
          <w:rPr>
            <w:webHidden/>
          </w:rPr>
          <w:tab/>
        </w:r>
        <w:r w:rsidR="00741337">
          <w:rPr>
            <w:webHidden/>
          </w:rPr>
          <w:fldChar w:fldCharType="begin"/>
        </w:r>
        <w:r w:rsidR="00741337">
          <w:rPr>
            <w:webHidden/>
          </w:rPr>
          <w:instrText xml:space="preserve"> PAGEREF _Toc34916591 \h </w:instrText>
        </w:r>
        <w:r w:rsidR="00741337">
          <w:rPr>
            <w:webHidden/>
          </w:rPr>
        </w:r>
        <w:r w:rsidR="00741337">
          <w:rPr>
            <w:webHidden/>
          </w:rPr>
          <w:fldChar w:fldCharType="separate"/>
        </w:r>
        <w:r w:rsidR="00741337">
          <w:rPr>
            <w:webHidden/>
          </w:rPr>
          <w:t>8</w:t>
        </w:r>
        <w:r w:rsidR="00741337">
          <w:rPr>
            <w:webHidden/>
          </w:rPr>
          <w:fldChar w:fldCharType="end"/>
        </w:r>
      </w:hyperlink>
    </w:p>
    <w:p w14:paraId="4B13DB8A" w14:textId="1E489138" w:rsidR="00741337" w:rsidRDefault="00000000">
      <w:pPr>
        <w:pStyle w:val="TOC2"/>
        <w:rPr>
          <w:rFonts w:eastAsiaTheme="minorEastAsia" w:cstheme="minorBidi"/>
          <w:i w:val="0"/>
          <w:iCs w:val="0"/>
          <w:sz w:val="22"/>
          <w:szCs w:val="22"/>
        </w:rPr>
      </w:pPr>
      <w:hyperlink w:anchor="_Toc34916592" w:history="1">
        <w:r w:rsidR="00741337" w:rsidRPr="00F3050E">
          <w:rPr>
            <w:rStyle w:val="Hyperlink"/>
          </w:rPr>
          <w:t>CCI (Correct Coding Initiative) Edits</w:t>
        </w:r>
        <w:r w:rsidR="00741337">
          <w:rPr>
            <w:webHidden/>
          </w:rPr>
          <w:tab/>
        </w:r>
        <w:r w:rsidR="00741337">
          <w:rPr>
            <w:webHidden/>
          </w:rPr>
          <w:fldChar w:fldCharType="begin"/>
        </w:r>
        <w:r w:rsidR="00741337">
          <w:rPr>
            <w:webHidden/>
          </w:rPr>
          <w:instrText xml:space="preserve"> PAGEREF _Toc34916592 \h </w:instrText>
        </w:r>
        <w:r w:rsidR="00741337">
          <w:rPr>
            <w:webHidden/>
          </w:rPr>
        </w:r>
        <w:r w:rsidR="00741337">
          <w:rPr>
            <w:webHidden/>
          </w:rPr>
          <w:fldChar w:fldCharType="separate"/>
        </w:r>
        <w:r w:rsidR="00741337">
          <w:rPr>
            <w:webHidden/>
          </w:rPr>
          <w:t>9</w:t>
        </w:r>
        <w:r w:rsidR="00741337">
          <w:rPr>
            <w:webHidden/>
          </w:rPr>
          <w:fldChar w:fldCharType="end"/>
        </w:r>
      </w:hyperlink>
    </w:p>
    <w:p w14:paraId="53DA2535" w14:textId="55D18882" w:rsidR="00741337" w:rsidRDefault="00000000">
      <w:pPr>
        <w:pStyle w:val="TOC2"/>
        <w:rPr>
          <w:rFonts w:eastAsiaTheme="minorEastAsia" w:cstheme="minorBidi"/>
          <w:i w:val="0"/>
          <w:iCs w:val="0"/>
          <w:sz w:val="22"/>
          <w:szCs w:val="22"/>
        </w:rPr>
      </w:pPr>
      <w:hyperlink w:anchor="_Toc34916593" w:history="1">
        <w:r w:rsidR="00741337" w:rsidRPr="00F3050E">
          <w:rPr>
            <w:rStyle w:val="Hyperlink"/>
          </w:rPr>
          <w:t>Drug Screens</w:t>
        </w:r>
        <w:r w:rsidR="00741337">
          <w:rPr>
            <w:webHidden/>
          </w:rPr>
          <w:tab/>
        </w:r>
        <w:r w:rsidR="00741337">
          <w:rPr>
            <w:webHidden/>
          </w:rPr>
          <w:fldChar w:fldCharType="begin"/>
        </w:r>
        <w:r w:rsidR="00741337">
          <w:rPr>
            <w:webHidden/>
          </w:rPr>
          <w:instrText xml:space="preserve"> PAGEREF _Toc34916593 \h </w:instrText>
        </w:r>
        <w:r w:rsidR="00741337">
          <w:rPr>
            <w:webHidden/>
          </w:rPr>
        </w:r>
        <w:r w:rsidR="00741337">
          <w:rPr>
            <w:webHidden/>
          </w:rPr>
          <w:fldChar w:fldCharType="separate"/>
        </w:r>
        <w:r w:rsidR="00741337">
          <w:rPr>
            <w:webHidden/>
          </w:rPr>
          <w:t>9</w:t>
        </w:r>
        <w:r w:rsidR="00741337">
          <w:rPr>
            <w:webHidden/>
          </w:rPr>
          <w:fldChar w:fldCharType="end"/>
        </w:r>
      </w:hyperlink>
    </w:p>
    <w:p w14:paraId="72D2478E" w14:textId="6710473F" w:rsidR="00741337" w:rsidRDefault="00000000">
      <w:pPr>
        <w:pStyle w:val="TOC2"/>
        <w:rPr>
          <w:rFonts w:eastAsiaTheme="minorEastAsia" w:cstheme="minorBidi"/>
          <w:i w:val="0"/>
          <w:iCs w:val="0"/>
          <w:sz w:val="22"/>
          <w:szCs w:val="22"/>
        </w:rPr>
      </w:pPr>
      <w:hyperlink w:anchor="_Toc34916594" w:history="1">
        <w:r w:rsidR="00741337" w:rsidRPr="00F3050E">
          <w:rPr>
            <w:rStyle w:val="Hyperlink"/>
          </w:rPr>
          <w:t>Facility Billing</w:t>
        </w:r>
        <w:r w:rsidR="00741337">
          <w:rPr>
            <w:webHidden/>
          </w:rPr>
          <w:tab/>
        </w:r>
        <w:r w:rsidR="00741337">
          <w:rPr>
            <w:webHidden/>
          </w:rPr>
          <w:fldChar w:fldCharType="begin"/>
        </w:r>
        <w:r w:rsidR="00741337">
          <w:rPr>
            <w:webHidden/>
          </w:rPr>
          <w:instrText xml:space="preserve"> PAGEREF _Toc34916594 \h </w:instrText>
        </w:r>
        <w:r w:rsidR="00741337">
          <w:rPr>
            <w:webHidden/>
          </w:rPr>
        </w:r>
        <w:r w:rsidR="00741337">
          <w:rPr>
            <w:webHidden/>
          </w:rPr>
          <w:fldChar w:fldCharType="separate"/>
        </w:r>
        <w:r w:rsidR="00741337">
          <w:rPr>
            <w:webHidden/>
          </w:rPr>
          <w:t>10</w:t>
        </w:r>
        <w:r w:rsidR="00741337">
          <w:rPr>
            <w:webHidden/>
          </w:rPr>
          <w:fldChar w:fldCharType="end"/>
        </w:r>
      </w:hyperlink>
    </w:p>
    <w:p w14:paraId="0810029C" w14:textId="66F1F407" w:rsidR="00741337" w:rsidRDefault="00000000">
      <w:pPr>
        <w:pStyle w:val="TOC2"/>
        <w:rPr>
          <w:rFonts w:eastAsiaTheme="minorEastAsia" w:cstheme="minorBidi"/>
          <w:i w:val="0"/>
          <w:iCs w:val="0"/>
          <w:sz w:val="22"/>
          <w:szCs w:val="22"/>
        </w:rPr>
      </w:pPr>
      <w:hyperlink w:anchor="_Toc34916595" w:history="1">
        <w:r w:rsidR="00741337" w:rsidRPr="00F3050E">
          <w:rPr>
            <w:rStyle w:val="Hyperlink"/>
          </w:rPr>
          <w:t>Independent Medical Review by the Department</w:t>
        </w:r>
        <w:r w:rsidR="00741337">
          <w:rPr>
            <w:webHidden/>
          </w:rPr>
          <w:tab/>
        </w:r>
        <w:r w:rsidR="00741337">
          <w:rPr>
            <w:webHidden/>
          </w:rPr>
          <w:fldChar w:fldCharType="begin"/>
        </w:r>
        <w:r w:rsidR="00741337">
          <w:rPr>
            <w:webHidden/>
          </w:rPr>
          <w:instrText xml:space="preserve"> PAGEREF _Toc34916595 \h </w:instrText>
        </w:r>
        <w:r w:rsidR="00741337">
          <w:rPr>
            <w:webHidden/>
          </w:rPr>
        </w:r>
        <w:r w:rsidR="00741337">
          <w:rPr>
            <w:webHidden/>
          </w:rPr>
          <w:fldChar w:fldCharType="separate"/>
        </w:r>
        <w:r w:rsidR="00741337">
          <w:rPr>
            <w:webHidden/>
          </w:rPr>
          <w:t>10</w:t>
        </w:r>
        <w:r w:rsidR="00741337">
          <w:rPr>
            <w:webHidden/>
          </w:rPr>
          <w:fldChar w:fldCharType="end"/>
        </w:r>
      </w:hyperlink>
    </w:p>
    <w:p w14:paraId="6940BD10" w14:textId="6C6F8C03" w:rsidR="00741337" w:rsidRDefault="00000000">
      <w:pPr>
        <w:pStyle w:val="TOC2"/>
        <w:rPr>
          <w:rFonts w:eastAsiaTheme="minorEastAsia" w:cstheme="minorBidi"/>
          <w:i w:val="0"/>
          <w:iCs w:val="0"/>
          <w:sz w:val="22"/>
          <w:szCs w:val="22"/>
        </w:rPr>
      </w:pPr>
      <w:hyperlink w:anchor="_Toc34916596" w:history="1">
        <w:r w:rsidR="00741337" w:rsidRPr="00F3050E">
          <w:rPr>
            <w:rStyle w:val="Hyperlink"/>
          </w:rPr>
          <w:t>Medical Review and Utilization and Treatment Review by Insurers</w:t>
        </w:r>
        <w:r w:rsidR="00741337">
          <w:rPr>
            <w:webHidden/>
          </w:rPr>
          <w:tab/>
        </w:r>
        <w:r w:rsidR="00741337">
          <w:rPr>
            <w:webHidden/>
          </w:rPr>
          <w:fldChar w:fldCharType="begin"/>
        </w:r>
        <w:r w:rsidR="00741337">
          <w:rPr>
            <w:webHidden/>
          </w:rPr>
          <w:instrText xml:space="preserve"> PAGEREF _Toc34916596 \h </w:instrText>
        </w:r>
        <w:r w:rsidR="00741337">
          <w:rPr>
            <w:webHidden/>
          </w:rPr>
        </w:r>
        <w:r w:rsidR="00741337">
          <w:rPr>
            <w:webHidden/>
          </w:rPr>
          <w:fldChar w:fldCharType="separate"/>
        </w:r>
        <w:r w:rsidR="00741337">
          <w:rPr>
            <w:webHidden/>
          </w:rPr>
          <w:t>10</w:t>
        </w:r>
        <w:r w:rsidR="00741337">
          <w:rPr>
            <w:webHidden/>
          </w:rPr>
          <w:fldChar w:fldCharType="end"/>
        </w:r>
      </w:hyperlink>
    </w:p>
    <w:p w14:paraId="73A1F6F6" w14:textId="68229E57" w:rsidR="00741337" w:rsidRDefault="00000000">
      <w:pPr>
        <w:pStyle w:val="TOC2"/>
        <w:rPr>
          <w:rFonts w:eastAsiaTheme="minorEastAsia" w:cstheme="minorBidi"/>
          <w:i w:val="0"/>
          <w:iCs w:val="0"/>
          <w:sz w:val="22"/>
          <w:szCs w:val="22"/>
        </w:rPr>
      </w:pPr>
      <w:hyperlink w:anchor="_Toc34916597" w:history="1">
        <w:r w:rsidR="00741337" w:rsidRPr="00F3050E">
          <w:rPr>
            <w:rStyle w:val="Hyperlink"/>
          </w:rPr>
          <w:t>Medical Services Rendered in a Facility by a Professional Provider</w:t>
        </w:r>
        <w:r w:rsidR="00741337">
          <w:rPr>
            <w:webHidden/>
          </w:rPr>
          <w:tab/>
        </w:r>
        <w:r w:rsidR="00741337">
          <w:rPr>
            <w:webHidden/>
          </w:rPr>
          <w:fldChar w:fldCharType="begin"/>
        </w:r>
        <w:r w:rsidR="00741337">
          <w:rPr>
            <w:webHidden/>
          </w:rPr>
          <w:instrText xml:space="preserve"> PAGEREF _Toc34916597 \h </w:instrText>
        </w:r>
        <w:r w:rsidR="00741337">
          <w:rPr>
            <w:webHidden/>
          </w:rPr>
        </w:r>
        <w:r w:rsidR="00741337">
          <w:rPr>
            <w:webHidden/>
          </w:rPr>
          <w:fldChar w:fldCharType="separate"/>
        </w:r>
        <w:r w:rsidR="00741337">
          <w:rPr>
            <w:webHidden/>
          </w:rPr>
          <w:t>10</w:t>
        </w:r>
        <w:r w:rsidR="00741337">
          <w:rPr>
            <w:webHidden/>
          </w:rPr>
          <w:fldChar w:fldCharType="end"/>
        </w:r>
      </w:hyperlink>
    </w:p>
    <w:p w14:paraId="278C27A4" w14:textId="4AF24334" w:rsidR="00741337" w:rsidRDefault="00000000">
      <w:pPr>
        <w:pStyle w:val="TOC2"/>
        <w:rPr>
          <w:rFonts w:eastAsiaTheme="minorEastAsia" w:cstheme="minorBidi"/>
          <w:i w:val="0"/>
          <w:iCs w:val="0"/>
          <w:sz w:val="22"/>
          <w:szCs w:val="22"/>
        </w:rPr>
      </w:pPr>
      <w:hyperlink w:anchor="_Toc34916598" w:history="1">
        <w:r w:rsidR="00741337" w:rsidRPr="00F3050E">
          <w:rPr>
            <w:rStyle w:val="Hyperlink"/>
          </w:rPr>
          <w:t>Medical Services Rendered Outside a Facility by a Professional Provider</w:t>
        </w:r>
        <w:r w:rsidR="00741337">
          <w:rPr>
            <w:webHidden/>
          </w:rPr>
          <w:tab/>
        </w:r>
        <w:r w:rsidR="00741337">
          <w:rPr>
            <w:webHidden/>
          </w:rPr>
          <w:fldChar w:fldCharType="begin"/>
        </w:r>
        <w:r w:rsidR="00741337">
          <w:rPr>
            <w:webHidden/>
          </w:rPr>
          <w:instrText xml:space="preserve"> PAGEREF _Toc34916598 \h </w:instrText>
        </w:r>
        <w:r w:rsidR="00741337">
          <w:rPr>
            <w:webHidden/>
          </w:rPr>
        </w:r>
        <w:r w:rsidR="00741337">
          <w:rPr>
            <w:webHidden/>
          </w:rPr>
          <w:fldChar w:fldCharType="separate"/>
        </w:r>
        <w:r w:rsidR="00741337">
          <w:rPr>
            <w:webHidden/>
          </w:rPr>
          <w:t>11</w:t>
        </w:r>
        <w:r w:rsidR="00741337">
          <w:rPr>
            <w:webHidden/>
          </w:rPr>
          <w:fldChar w:fldCharType="end"/>
        </w:r>
      </w:hyperlink>
    </w:p>
    <w:p w14:paraId="46D98430" w14:textId="11248E5F" w:rsidR="00741337" w:rsidRDefault="00000000">
      <w:pPr>
        <w:pStyle w:val="TOC2"/>
        <w:rPr>
          <w:rFonts w:eastAsiaTheme="minorEastAsia" w:cstheme="minorBidi"/>
          <w:i w:val="0"/>
          <w:iCs w:val="0"/>
          <w:sz w:val="22"/>
          <w:szCs w:val="22"/>
        </w:rPr>
      </w:pPr>
      <w:hyperlink w:anchor="_Toc34916599" w:history="1">
        <w:r w:rsidR="00741337" w:rsidRPr="00F3050E">
          <w:rPr>
            <w:rStyle w:val="Hyperlink"/>
          </w:rPr>
          <w:t>Medically Unlikely Edits (MUEs)</w:t>
        </w:r>
        <w:r w:rsidR="00741337">
          <w:rPr>
            <w:webHidden/>
          </w:rPr>
          <w:tab/>
        </w:r>
        <w:r w:rsidR="00741337">
          <w:rPr>
            <w:webHidden/>
          </w:rPr>
          <w:fldChar w:fldCharType="begin"/>
        </w:r>
        <w:r w:rsidR="00741337">
          <w:rPr>
            <w:webHidden/>
          </w:rPr>
          <w:instrText xml:space="preserve"> PAGEREF _Toc34916599 \h </w:instrText>
        </w:r>
        <w:r w:rsidR="00741337">
          <w:rPr>
            <w:webHidden/>
          </w:rPr>
        </w:r>
        <w:r w:rsidR="00741337">
          <w:rPr>
            <w:webHidden/>
          </w:rPr>
          <w:fldChar w:fldCharType="separate"/>
        </w:r>
        <w:r w:rsidR="00741337">
          <w:rPr>
            <w:webHidden/>
          </w:rPr>
          <w:t>11</w:t>
        </w:r>
        <w:r w:rsidR="00741337">
          <w:rPr>
            <w:webHidden/>
          </w:rPr>
          <w:fldChar w:fldCharType="end"/>
        </w:r>
      </w:hyperlink>
    </w:p>
    <w:p w14:paraId="21B0F577" w14:textId="585DBF4B" w:rsidR="00741337" w:rsidRDefault="00000000">
      <w:pPr>
        <w:pStyle w:val="TOC2"/>
        <w:rPr>
          <w:rFonts w:eastAsiaTheme="minorEastAsia" w:cstheme="minorBidi"/>
          <w:i w:val="0"/>
          <w:iCs w:val="0"/>
          <w:sz w:val="22"/>
          <w:szCs w:val="22"/>
        </w:rPr>
      </w:pPr>
      <w:hyperlink w:anchor="_Toc34916600" w:history="1">
        <w:r w:rsidR="00741337" w:rsidRPr="00F3050E">
          <w:rPr>
            <w:rStyle w:val="Hyperlink"/>
          </w:rPr>
          <w:t>Multiple Procedures</w:t>
        </w:r>
        <w:r w:rsidR="00741337">
          <w:rPr>
            <w:webHidden/>
          </w:rPr>
          <w:tab/>
        </w:r>
        <w:r w:rsidR="00741337">
          <w:rPr>
            <w:webHidden/>
          </w:rPr>
          <w:fldChar w:fldCharType="begin"/>
        </w:r>
        <w:r w:rsidR="00741337">
          <w:rPr>
            <w:webHidden/>
          </w:rPr>
          <w:instrText xml:space="preserve"> PAGEREF _Toc34916600 \h </w:instrText>
        </w:r>
        <w:r w:rsidR="00741337">
          <w:rPr>
            <w:webHidden/>
          </w:rPr>
        </w:r>
        <w:r w:rsidR="00741337">
          <w:rPr>
            <w:webHidden/>
          </w:rPr>
          <w:fldChar w:fldCharType="separate"/>
        </w:r>
        <w:r w:rsidR="00741337">
          <w:rPr>
            <w:webHidden/>
          </w:rPr>
          <w:t>11</w:t>
        </w:r>
        <w:r w:rsidR="00741337">
          <w:rPr>
            <w:webHidden/>
          </w:rPr>
          <w:fldChar w:fldCharType="end"/>
        </w:r>
      </w:hyperlink>
    </w:p>
    <w:p w14:paraId="1CC58969" w14:textId="6CFA0A3E" w:rsidR="00741337" w:rsidRDefault="00000000">
      <w:pPr>
        <w:pStyle w:val="TOC2"/>
        <w:rPr>
          <w:rFonts w:eastAsiaTheme="minorEastAsia" w:cstheme="minorBidi"/>
          <w:i w:val="0"/>
          <w:iCs w:val="0"/>
          <w:sz w:val="22"/>
          <w:szCs w:val="22"/>
        </w:rPr>
      </w:pPr>
      <w:hyperlink w:anchor="_Toc34916601" w:history="1">
        <w:r w:rsidR="00741337" w:rsidRPr="00F3050E">
          <w:rPr>
            <w:rStyle w:val="Hyperlink"/>
          </w:rPr>
          <w:t>New Codes</w:t>
        </w:r>
        <w:r w:rsidR="00741337">
          <w:rPr>
            <w:webHidden/>
          </w:rPr>
          <w:tab/>
        </w:r>
        <w:r w:rsidR="00741337">
          <w:rPr>
            <w:webHidden/>
          </w:rPr>
          <w:fldChar w:fldCharType="begin"/>
        </w:r>
        <w:r w:rsidR="00741337">
          <w:rPr>
            <w:webHidden/>
          </w:rPr>
          <w:instrText xml:space="preserve"> PAGEREF _Toc34916601 \h </w:instrText>
        </w:r>
        <w:r w:rsidR="00741337">
          <w:rPr>
            <w:webHidden/>
          </w:rPr>
        </w:r>
        <w:r w:rsidR="00741337">
          <w:rPr>
            <w:webHidden/>
          </w:rPr>
          <w:fldChar w:fldCharType="separate"/>
        </w:r>
        <w:r w:rsidR="00741337">
          <w:rPr>
            <w:webHidden/>
          </w:rPr>
          <w:t>12</w:t>
        </w:r>
        <w:r w:rsidR="00741337">
          <w:rPr>
            <w:webHidden/>
          </w:rPr>
          <w:fldChar w:fldCharType="end"/>
        </w:r>
      </w:hyperlink>
    </w:p>
    <w:p w14:paraId="613536F1" w14:textId="4108AC0C" w:rsidR="00741337" w:rsidRDefault="00000000">
      <w:pPr>
        <w:pStyle w:val="TOC2"/>
        <w:rPr>
          <w:rFonts w:eastAsiaTheme="minorEastAsia" w:cstheme="minorBidi"/>
          <w:i w:val="0"/>
          <w:iCs w:val="0"/>
          <w:sz w:val="22"/>
          <w:szCs w:val="22"/>
        </w:rPr>
      </w:pPr>
      <w:hyperlink w:anchor="_Toc34916602"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_Toc34916602 \h </w:instrText>
        </w:r>
        <w:r w:rsidR="00741337">
          <w:rPr>
            <w:webHidden/>
          </w:rPr>
        </w:r>
        <w:r w:rsidR="00741337">
          <w:rPr>
            <w:webHidden/>
          </w:rPr>
          <w:fldChar w:fldCharType="separate"/>
        </w:r>
        <w:r w:rsidR="00741337">
          <w:rPr>
            <w:webHidden/>
          </w:rPr>
          <w:t>12</w:t>
        </w:r>
        <w:r w:rsidR="00741337">
          <w:rPr>
            <w:webHidden/>
          </w:rPr>
          <w:fldChar w:fldCharType="end"/>
        </w:r>
      </w:hyperlink>
    </w:p>
    <w:p w14:paraId="5189A56C" w14:textId="64F0D28A" w:rsidR="00741337" w:rsidRDefault="00000000">
      <w:pPr>
        <w:pStyle w:val="TOC2"/>
        <w:rPr>
          <w:rFonts w:eastAsiaTheme="minorEastAsia" w:cstheme="minorBidi"/>
          <w:i w:val="0"/>
          <w:iCs w:val="0"/>
          <w:sz w:val="22"/>
          <w:szCs w:val="22"/>
        </w:rPr>
      </w:pPr>
      <w:hyperlink w:anchor="_Toc34916603" w:history="1">
        <w:r w:rsidR="00741337" w:rsidRPr="00F3050E">
          <w:rPr>
            <w:rStyle w:val="Hyperlink"/>
          </w:rPr>
          <w:t>Status Code Indicators (SI)</w:t>
        </w:r>
        <w:r w:rsidR="00741337">
          <w:rPr>
            <w:webHidden/>
          </w:rPr>
          <w:tab/>
        </w:r>
        <w:r w:rsidR="00741337">
          <w:rPr>
            <w:webHidden/>
          </w:rPr>
          <w:fldChar w:fldCharType="begin"/>
        </w:r>
        <w:r w:rsidR="00741337">
          <w:rPr>
            <w:webHidden/>
          </w:rPr>
          <w:instrText xml:space="preserve"> PAGEREF _Toc34916603 \h </w:instrText>
        </w:r>
        <w:r w:rsidR="00741337">
          <w:rPr>
            <w:webHidden/>
          </w:rPr>
        </w:r>
        <w:r w:rsidR="00741337">
          <w:rPr>
            <w:webHidden/>
          </w:rPr>
          <w:fldChar w:fldCharType="separate"/>
        </w:r>
        <w:r w:rsidR="00741337">
          <w:rPr>
            <w:webHidden/>
          </w:rPr>
          <w:t>12</w:t>
        </w:r>
        <w:r w:rsidR="00741337">
          <w:rPr>
            <w:webHidden/>
          </w:rPr>
          <w:fldChar w:fldCharType="end"/>
        </w:r>
      </w:hyperlink>
    </w:p>
    <w:p w14:paraId="289C1353" w14:textId="7C60788F" w:rsidR="00741337" w:rsidRDefault="00000000">
      <w:pPr>
        <w:pStyle w:val="TOC2"/>
        <w:rPr>
          <w:rFonts w:eastAsiaTheme="minorEastAsia" w:cstheme="minorBidi"/>
          <w:i w:val="0"/>
          <w:iCs w:val="0"/>
          <w:sz w:val="22"/>
          <w:szCs w:val="22"/>
        </w:rPr>
      </w:pPr>
      <w:hyperlink w:anchor="_Toc34916604" w:history="1">
        <w:r w:rsidR="00741337" w:rsidRPr="00F3050E">
          <w:rPr>
            <w:rStyle w:val="Hyperlink"/>
          </w:rPr>
          <w:t>Usual and Customary</w:t>
        </w:r>
        <w:r w:rsidR="00741337">
          <w:rPr>
            <w:webHidden/>
          </w:rPr>
          <w:tab/>
        </w:r>
        <w:r w:rsidR="00741337">
          <w:rPr>
            <w:webHidden/>
          </w:rPr>
          <w:fldChar w:fldCharType="begin"/>
        </w:r>
        <w:r w:rsidR="00741337">
          <w:rPr>
            <w:webHidden/>
          </w:rPr>
          <w:instrText xml:space="preserve"> PAGEREF _Toc34916604 \h </w:instrText>
        </w:r>
        <w:r w:rsidR="00741337">
          <w:rPr>
            <w:webHidden/>
          </w:rPr>
        </w:r>
        <w:r w:rsidR="00741337">
          <w:rPr>
            <w:webHidden/>
          </w:rPr>
          <w:fldChar w:fldCharType="separate"/>
        </w:r>
        <w:r w:rsidR="00741337">
          <w:rPr>
            <w:webHidden/>
          </w:rPr>
          <w:t>12</w:t>
        </w:r>
        <w:r w:rsidR="00741337">
          <w:rPr>
            <w:webHidden/>
          </w:rPr>
          <w:fldChar w:fldCharType="end"/>
        </w:r>
      </w:hyperlink>
    </w:p>
    <w:p w14:paraId="069E30FF" w14:textId="0A36B2BA" w:rsidR="00741337" w:rsidRDefault="00000000">
      <w:pPr>
        <w:pStyle w:val="TOC1"/>
        <w:rPr>
          <w:rFonts w:eastAsiaTheme="minorEastAsia" w:cstheme="minorBidi"/>
          <w:b w:val="0"/>
          <w:bCs w:val="0"/>
          <w:sz w:val="22"/>
          <w:szCs w:val="22"/>
        </w:rPr>
      </w:pPr>
      <w:hyperlink w:anchor="_Toc34916605" w:history="1">
        <w:r w:rsidR="00741337" w:rsidRPr="00F3050E">
          <w:rPr>
            <w:rStyle w:val="Hyperlink"/>
          </w:rPr>
          <w:t>Section Three:  Inpatient (MS-DRG) Reimbursement</w:t>
        </w:r>
        <w:r w:rsidR="00741337">
          <w:rPr>
            <w:webHidden/>
          </w:rPr>
          <w:tab/>
        </w:r>
        <w:r w:rsidR="00741337">
          <w:rPr>
            <w:webHidden/>
          </w:rPr>
          <w:fldChar w:fldCharType="begin"/>
        </w:r>
        <w:r w:rsidR="00741337">
          <w:rPr>
            <w:webHidden/>
          </w:rPr>
          <w:instrText xml:space="preserve"> PAGEREF _Toc34916605 \h </w:instrText>
        </w:r>
        <w:r w:rsidR="00741337">
          <w:rPr>
            <w:webHidden/>
          </w:rPr>
        </w:r>
        <w:r w:rsidR="00741337">
          <w:rPr>
            <w:webHidden/>
          </w:rPr>
          <w:fldChar w:fldCharType="separate"/>
        </w:r>
        <w:r w:rsidR="00741337">
          <w:rPr>
            <w:webHidden/>
          </w:rPr>
          <w:t>12</w:t>
        </w:r>
        <w:r w:rsidR="00741337">
          <w:rPr>
            <w:webHidden/>
          </w:rPr>
          <w:fldChar w:fldCharType="end"/>
        </w:r>
      </w:hyperlink>
    </w:p>
    <w:p w14:paraId="7DCA51F1" w14:textId="3E58F184" w:rsidR="00741337" w:rsidRDefault="00000000">
      <w:pPr>
        <w:pStyle w:val="TOC2"/>
        <w:rPr>
          <w:rFonts w:eastAsiaTheme="minorEastAsia" w:cstheme="minorBidi"/>
          <w:i w:val="0"/>
          <w:iCs w:val="0"/>
          <w:sz w:val="22"/>
          <w:szCs w:val="22"/>
        </w:rPr>
      </w:pPr>
      <w:hyperlink w:anchor="_Toc34916606" w:history="1">
        <w:r w:rsidR="00741337" w:rsidRPr="00F3050E">
          <w:rPr>
            <w:rStyle w:val="Hyperlink"/>
          </w:rPr>
          <w:t>MS-DRG Reimbursement</w:t>
        </w:r>
        <w:r w:rsidR="00741337">
          <w:rPr>
            <w:webHidden/>
          </w:rPr>
          <w:tab/>
        </w:r>
        <w:r w:rsidR="00741337">
          <w:rPr>
            <w:webHidden/>
          </w:rPr>
          <w:fldChar w:fldCharType="begin"/>
        </w:r>
        <w:r w:rsidR="00741337">
          <w:rPr>
            <w:webHidden/>
          </w:rPr>
          <w:instrText xml:space="preserve"> PAGEREF _Toc34916606 \h </w:instrText>
        </w:r>
        <w:r w:rsidR="00741337">
          <w:rPr>
            <w:webHidden/>
          </w:rPr>
        </w:r>
        <w:r w:rsidR="00741337">
          <w:rPr>
            <w:webHidden/>
          </w:rPr>
          <w:fldChar w:fldCharType="separate"/>
        </w:r>
        <w:r w:rsidR="00741337">
          <w:rPr>
            <w:webHidden/>
          </w:rPr>
          <w:t>12</w:t>
        </w:r>
        <w:r w:rsidR="00741337">
          <w:rPr>
            <w:webHidden/>
          </w:rPr>
          <w:fldChar w:fldCharType="end"/>
        </w:r>
      </w:hyperlink>
    </w:p>
    <w:p w14:paraId="55B68A4D" w14:textId="5B0D077D" w:rsidR="00741337" w:rsidRDefault="00000000">
      <w:pPr>
        <w:pStyle w:val="TOC2"/>
        <w:rPr>
          <w:rFonts w:eastAsiaTheme="minorEastAsia" w:cstheme="minorBidi"/>
          <w:i w:val="0"/>
          <w:iCs w:val="0"/>
          <w:sz w:val="22"/>
          <w:szCs w:val="22"/>
        </w:rPr>
      </w:pPr>
      <w:hyperlink w:anchor="_Toc34916607" w:history="1">
        <w:r w:rsidR="00741337" w:rsidRPr="00F3050E">
          <w:rPr>
            <w:rStyle w:val="Hyperlink"/>
          </w:rPr>
          <w:t>MS-DRG Grouper</w:t>
        </w:r>
        <w:r w:rsidR="00741337">
          <w:rPr>
            <w:webHidden/>
          </w:rPr>
          <w:tab/>
        </w:r>
        <w:r w:rsidR="00741337">
          <w:rPr>
            <w:webHidden/>
          </w:rPr>
          <w:fldChar w:fldCharType="begin"/>
        </w:r>
        <w:r w:rsidR="00741337">
          <w:rPr>
            <w:webHidden/>
          </w:rPr>
          <w:instrText xml:space="preserve"> PAGEREF _Toc34916607 \h </w:instrText>
        </w:r>
        <w:r w:rsidR="00741337">
          <w:rPr>
            <w:webHidden/>
          </w:rPr>
        </w:r>
        <w:r w:rsidR="00741337">
          <w:rPr>
            <w:webHidden/>
          </w:rPr>
          <w:fldChar w:fldCharType="separate"/>
        </w:r>
        <w:r w:rsidR="00741337">
          <w:rPr>
            <w:webHidden/>
          </w:rPr>
          <w:t>12</w:t>
        </w:r>
        <w:r w:rsidR="00741337">
          <w:rPr>
            <w:webHidden/>
          </w:rPr>
          <w:fldChar w:fldCharType="end"/>
        </w:r>
      </w:hyperlink>
    </w:p>
    <w:p w14:paraId="56E4A0A3" w14:textId="11DE9616" w:rsidR="00741337" w:rsidRDefault="00000000">
      <w:pPr>
        <w:pStyle w:val="TOC2"/>
        <w:rPr>
          <w:rFonts w:eastAsiaTheme="minorEastAsia" w:cstheme="minorBidi"/>
          <w:i w:val="0"/>
          <w:iCs w:val="0"/>
          <w:sz w:val="22"/>
          <w:szCs w:val="22"/>
        </w:rPr>
      </w:pPr>
      <w:hyperlink w:anchor="_Toc34916608"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_Toc34916608 \h </w:instrText>
        </w:r>
        <w:r w:rsidR="00741337">
          <w:rPr>
            <w:webHidden/>
          </w:rPr>
        </w:r>
        <w:r w:rsidR="00741337">
          <w:rPr>
            <w:webHidden/>
          </w:rPr>
          <w:fldChar w:fldCharType="separate"/>
        </w:r>
        <w:r w:rsidR="00741337">
          <w:rPr>
            <w:webHidden/>
          </w:rPr>
          <w:t>12</w:t>
        </w:r>
        <w:r w:rsidR="00741337">
          <w:rPr>
            <w:webHidden/>
          </w:rPr>
          <w:fldChar w:fldCharType="end"/>
        </w:r>
      </w:hyperlink>
    </w:p>
    <w:p w14:paraId="1BF35FF0" w14:textId="74A77494" w:rsidR="00741337" w:rsidRDefault="00000000">
      <w:pPr>
        <w:pStyle w:val="TOC2"/>
        <w:rPr>
          <w:rFonts w:eastAsiaTheme="minorEastAsia" w:cstheme="minorBidi"/>
          <w:i w:val="0"/>
          <w:iCs w:val="0"/>
          <w:sz w:val="22"/>
          <w:szCs w:val="22"/>
        </w:rPr>
      </w:pPr>
      <w:hyperlink w:anchor="_Toc34916609" w:history="1">
        <w:r w:rsidR="00741337" w:rsidRPr="00F3050E">
          <w:rPr>
            <w:rStyle w:val="Hyperlink"/>
          </w:rPr>
          <w:t>Implants</w:t>
        </w:r>
        <w:r w:rsidR="00741337">
          <w:rPr>
            <w:webHidden/>
          </w:rPr>
          <w:tab/>
        </w:r>
        <w:r w:rsidR="00741337">
          <w:rPr>
            <w:webHidden/>
          </w:rPr>
          <w:fldChar w:fldCharType="begin"/>
        </w:r>
        <w:r w:rsidR="00741337">
          <w:rPr>
            <w:webHidden/>
          </w:rPr>
          <w:instrText xml:space="preserve"> PAGEREF _Toc34916609 \h </w:instrText>
        </w:r>
        <w:r w:rsidR="00741337">
          <w:rPr>
            <w:webHidden/>
          </w:rPr>
        </w:r>
        <w:r w:rsidR="00741337">
          <w:rPr>
            <w:webHidden/>
          </w:rPr>
          <w:fldChar w:fldCharType="separate"/>
        </w:r>
        <w:r w:rsidR="00741337">
          <w:rPr>
            <w:webHidden/>
          </w:rPr>
          <w:t>13</w:t>
        </w:r>
        <w:r w:rsidR="00741337">
          <w:rPr>
            <w:webHidden/>
          </w:rPr>
          <w:fldChar w:fldCharType="end"/>
        </w:r>
      </w:hyperlink>
    </w:p>
    <w:p w14:paraId="62B4420B" w14:textId="3A33017D" w:rsidR="00741337" w:rsidRDefault="00000000">
      <w:pPr>
        <w:pStyle w:val="TOC2"/>
        <w:rPr>
          <w:rFonts w:eastAsiaTheme="minorEastAsia" w:cstheme="minorBidi"/>
          <w:i w:val="0"/>
          <w:iCs w:val="0"/>
          <w:sz w:val="22"/>
          <w:szCs w:val="22"/>
        </w:rPr>
      </w:pPr>
      <w:hyperlink w:anchor="_Toc34916610" w:history="1">
        <w:r w:rsidR="00741337" w:rsidRPr="00F3050E">
          <w:rPr>
            <w:rStyle w:val="Hyperlink"/>
          </w:rPr>
          <w:t>Modifiers</w:t>
        </w:r>
        <w:r w:rsidR="00741337">
          <w:rPr>
            <w:webHidden/>
          </w:rPr>
          <w:tab/>
        </w:r>
        <w:r w:rsidR="00741337">
          <w:rPr>
            <w:webHidden/>
          </w:rPr>
          <w:fldChar w:fldCharType="begin"/>
        </w:r>
        <w:r w:rsidR="00741337">
          <w:rPr>
            <w:webHidden/>
          </w:rPr>
          <w:instrText xml:space="preserve"> PAGEREF _Toc34916610 \h </w:instrText>
        </w:r>
        <w:r w:rsidR="00741337">
          <w:rPr>
            <w:webHidden/>
          </w:rPr>
        </w:r>
        <w:r w:rsidR="00741337">
          <w:rPr>
            <w:webHidden/>
          </w:rPr>
          <w:fldChar w:fldCharType="separate"/>
        </w:r>
        <w:r w:rsidR="00741337">
          <w:rPr>
            <w:webHidden/>
          </w:rPr>
          <w:t>13</w:t>
        </w:r>
        <w:r w:rsidR="00741337">
          <w:rPr>
            <w:webHidden/>
          </w:rPr>
          <w:fldChar w:fldCharType="end"/>
        </w:r>
      </w:hyperlink>
    </w:p>
    <w:p w14:paraId="38568141" w14:textId="3718F89B" w:rsidR="00741337" w:rsidRDefault="00000000">
      <w:pPr>
        <w:pStyle w:val="TOC2"/>
        <w:rPr>
          <w:rFonts w:eastAsiaTheme="minorEastAsia" w:cstheme="minorBidi"/>
          <w:i w:val="0"/>
          <w:iCs w:val="0"/>
          <w:sz w:val="22"/>
          <w:szCs w:val="22"/>
        </w:rPr>
      </w:pPr>
      <w:hyperlink w:anchor="_Toc34916611" w:history="1">
        <w:r w:rsidR="00741337" w:rsidRPr="00F3050E">
          <w:rPr>
            <w:rStyle w:val="Hyperlink"/>
          </w:rPr>
          <w:t>Non-patient Hospital Outpatient Clinical Diagnostic Laboratory Test Payment and Billing</w:t>
        </w:r>
        <w:r w:rsidR="00741337">
          <w:rPr>
            <w:webHidden/>
          </w:rPr>
          <w:tab/>
        </w:r>
        <w:r w:rsidR="00741337">
          <w:rPr>
            <w:webHidden/>
          </w:rPr>
          <w:fldChar w:fldCharType="begin"/>
        </w:r>
        <w:r w:rsidR="00741337">
          <w:rPr>
            <w:webHidden/>
          </w:rPr>
          <w:instrText xml:space="preserve"> PAGEREF _Toc34916611 \h </w:instrText>
        </w:r>
        <w:r w:rsidR="00741337">
          <w:rPr>
            <w:webHidden/>
          </w:rPr>
        </w:r>
        <w:r w:rsidR="00741337">
          <w:rPr>
            <w:webHidden/>
          </w:rPr>
          <w:fldChar w:fldCharType="separate"/>
        </w:r>
        <w:r w:rsidR="00741337">
          <w:rPr>
            <w:webHidden/>
          </w:rPr>
          <w:t>13</w:t>
        </w:r>
        <w:r w:rsidR="00741337">
          <w:rPr>
            <w:webHidden/>
          </w:rPr>
          <w:fldChar w:fldCharType="end"/>
        </w:r>
      </w:hyperlink>
    </w:p>
    <w:p w14:paraId="69A96B9C" w14:textId="7DD60899" w:rsidR="00741337" w:rsidRDefault="00000000">
      <w:pPr>
        <w:pStyle w:val="TOC2"/>
        <w:rPr>
          <w:rFonts w:eastAsiaTheme="minorEastAsia" w:cstheme="minorBidi"/>
          <w:i w:val="0"/>
          <w:iCs w:val="0"/>
          <w:sz w:val="22"/>
          <w:szCs w:val="22"/>
        </w:rPr>
      </w:pPr>
      <w:hyperlink w:anchor="_Toc34916612" w:history="1">
        <w:r w:rsidR="00741337" w:rsidRPr="00F3050E">
          <w:rPr>
            <w:rStyle w:val="Hyperlink"/>
          </w:rPr>
          <w:t>Outpatient Fee Schedule J1</w:t>
        </w:r>
        <w:r w:rsidR="003B18FC">
          <w:rPr>
            <w:rStyle w:val="Hyperlink"/>
          </w:rPr>
          <w:t xml:space="preserve"> </w:t>
        </w:r>
        <w:r w:rsidR="00741337" w:rsidRPr="00F3050E">
          <w:rPr>
            <w:rStyle w:val="Hyperlink"/>
          </w:rPr>
          <w:t>and J2 Status Indicator</w:t>
        </w:r>
        <w:r w:rsidR="00741337">
          <w:rPr>
            <w:webHidden/>
          </w:rPr>
          <w:tab/>
        </w:r>
        <w:r w:rsidR="00741337">
          <w:rPr>
            <w:webHidden/>
          </w:rPr>
          <w:fldChar w:fldCharType="begin"/>
        </w:r>
        <w:r w:rsidR="00741337">
          <w:rPr>
            <w:webHidden/>
          </w:rPr>
          <w:instrText xml:space="preserve"> PAGEREF _Toc34916612 \h </w:instrText>
        </w:r>
        <w:r w:rsidR="00741337">
          <w:rPr>
            <w:webHidden/>
          </w:rPr>
        </w:r>
        <w:r w:rsidR="00741337">
          <w:rPr>
            <w:webHidden/>
          </w:rPr>
          <w:fldChar w:fldCharType="separate"/>
        </w:r>
        <w:r w:rsidR="00741337">
          <w:rPr>
            <w:webHidden/>
          </w:rPr>
          <w:t>14</w:t>
        </w:r>
        <w:r w:rsidR="00741337">
          <w:rPr>
            <w:webHidden/>
          </w:rPr>
          <w:fldChar w:fldCharType="end"/>
        </w:r>
      </w:hyperlink>
    </w:p>
    <w:p w14:paraId="23922713" w14:textId="3C8C4A43" w:rsidR="00741337" w:rsidRDefault="00000000">
      <w:pPr>
        <w:pStyle w:val="TOC2"/>
        <w:rPr>
          <w:rFonts w:eastAsiaTheme="minorEastAsia" w:cstheme="minorBidi"/>
          <w:i w:val="0"/>
          <w:iCs w:val="0"/>
          <w:sz w:val="22"/>
          <w:szCs w:val="22"/>
        </w:rPr>
      </w:pPr>
      <w:hyperlink w:anchor="_Toc34916613" w:history="1">
        <w:r w:rsidR="00741337" w:rsidRPr="00F3050E">
          <w:rPr>
            <w:rStyle w:val="Hyperlink"/>
          </w:rPr>
          <w:t>Outpatient Reimbursement</w:t>
        </w:r>
        <w:r w:rsidR="00741337">
          <w:rPr>
            <w:webHidden/>
          </w:rPr>
          <w:tab/>
        </w:r>
        <w:r w:rsidR="00741337">
          <w:rPr>
            <w:webHidden/>
          </w:rPr>
          <w:fldChar w:fldCharType="begin"/>
        </w:r>
        <w:r w:rsidR="00741337">
          <w:rPr>
            <w:webHidden/>
          </w:rPr>
          <w:instrText xml:space="preserve"> PAGEREF _Toc34916613 \h </w:instrText>
        </w:r>
        <w:r w:rsidR="00741337">
          <w:rPr>
            <w:webHidden/>
          </w:rPr>
        </w:r>
        <w:r w:rsidR="00741337">
          <w:rPr>
            <w:webHidden/>
          </w:rPr>
          <w:fldChar w:fldCharType="separate"/>
        </w:r>
        <w:r w:rsidR="00741337">
          <w:rPr>
            <w:webHidden/>
          </w:rPr>
          <w:t>15</w:t>
        </w:r>
        <w:r w:rsidR="00741337">
          <w:rPr>
            <w:webHidden/>
          </w:rPr>
          <w:fldChar w:fldCharType="end"/>
        </w:r>
      </w:hyperlink>
    </w:p>
    <w:p w14:paraId="38F1D0DB" w14:textId="37053FB8" w:rsidR="00741337" w:rsidRDefault="00000000">
      <w:pPr>
        <w:pStyle w:val="TOC2"/>
        <w:rPr>
          <w:rFonts w:eastAsiaTheme="minorEastAsia" w:cstheme="minorBidi"/>
          <w:i w:val="0"/>
          <w:iCs w:val="0"/>
          <w:sz w:val="22"/>
          <w:szCs w:val="22"/>
        </w:rPr>
      </w:pPr>
      <w:hyperlink w:anchor="_Toc34916614" w:history="1">
        <w:r w:rsidR="00741337" w:rsidRPr="00F3050E">
          <w:rPr>
            <w:rStyle w:val="Hyperlink"/>
          </w:rPr>
          <w:t>APC Reimbursement Levels</w:t>
        </w:r>
        <w:r w:rsidR="00741337">
          <w:rPr>
            <w:webHidden/>
          </w:rPr>
          <w:tab/>
        </w:r>
        <w:r w:rsidR="00741337">
          <w:rPr>
            <w:webHidden/>
          </w:rPr>
          <w:fldChar w:fldCharType="begin"/>
        </w:r>
        <w:r w:rsidR="00741337">
          <w:rPr>
            <w:webHidden/>
          </w:rPr>
          <w:instrText xml:space="preserve"> PAGEREF _Toc34916614 \h </w:instrText>
        </w:r>
        <w:r w:rsidR="00741337">
          <w:rPr>
            <w:webHidden/>
          </w:rPr>
        </w:r>
        <w:r w:rsidR="00741337">
          <w:rPr>
            <w:webHidden/>
          </w:rPr>
          <w:fldChar w:fldCharType="separate"/>
        </w:r>
        <w:r w:rsidR="00741337">
          <w:rPr>
            <w:webHidden/>
          </w:rPr>
          <w:t>16</w:t>
        </w:r>
        <w:r w:rsidR="00741337">
          <w:rPr>
            <w:webHidden/>
          </w:rPr>
          <w:fldChar w:fldCharType="end"/>
        </w:r>
      </w:hyperlink>
    </w:p>
    <w:p w14:paraId="2FE629F1" w14:textId="6C59DD41" w:rsidR="00741337" w:rsidRDefault="00000000">
      <w:pPr>
        <w:pStyle w:val="TOC2"/>
        <w:rPr>
          <w:rFonts w:eastAsiaTheme="minorEastAsia" w:cstheme="minorBidi"/>
          <w:i w:val="0"/>
          <w:iCs w:val="0"/>
          <w:sz w:val="22"/>
          <w:szCs w:val="22"/>
        </w:rPr>
      </w:pPr>
      <w:hyperlink w:anchor="_Toc34916615" w:history="1">
        <w:r w:rsidR="00741337" w:rsidRPr="00F3050E">
          <w:rPr>
            <w:rStyle w:val="Hyperlink"/>
          </w:rPr>
          <w:t>Outpatient Implants</w:t>
        </w:r>
        <w:r w:rsidR="00741337">
          <w:rPr>
            <w:webHidden/>
          </w:rPr>
          <w:tab/>
        </w:r>
        <w:r w:rsidR="00741337">
          <w:rPr>
            <w:webHidden/>
          </w:rPr>
          <w:fldChar w:fldCharType="begin"/>
        </w:r>
        <w:r w:rsidR="00741337">
          <w:rPr>
            <w:webHidden/>
          </w:rPr>
          <w:instrText xml:space="preserve"> PAGEREF _Toc34916615 \h </w:instrText>
        </w:r>
        <w:r w:rsidR="00741337">
          <w:rPr>
            <w:webHidden/>
          </w:rPr>
        </w:r>
        <w:r w:rsidR="00741337">
          <w:rPr>
            <w:webHidden/>
          </w:rPr>
          <w:fldChar w:fldCharType="separate"/>
        </w:r>
        <w:r w:rsidR="00741337">
          <w:rPr>
            <w:webHidden/>
          </w:rPr>
          <w:t>16</w:t>
        </w:r>
        <w:r w:rsidR="00741337">
          <w:rPr>
            <w:webHidden/>
          </w:rPr>
          <w:fldChar w:fldCharType="end"/>
        </w:r>
      </w:hyperlink>
    </w:p>
    <w:p w14:paraId="7942F04E" w14:textId="78EA7F0F" w:rsidR="004B2E57" w:rsidRPr="00DB0334" w:rsidRDefault="006E07EC" w:rsidP="00BF2DC8">
      <w:pPr>
        <w:rPr>
          <w:rFonts w:asciiTheme="majorHAnsi" w:hAnsiTheme="majorHAnsi"/>
        </w:rPr>
      </w:pPr>
      <w:r>
        <w:rPr>
          <w:rFonts w:asciiTheme="majorHAnsi" w:hAnsiTheme="majorHAnsi" w:cstheme="minorHAnsi"/>
          <w:noProof/>
          <w:sz w:val="28"/>
          <w:szCs w:val="28"/>
        </w:rPr>
        <w:fldChar w:fldCharType="end"/>
      </w:r>
    </w:p>
    <w:p w14:paraId="1809D30E" w14:textId="77777777" w:rsidR="003E0B2B" w:rsidRPr="00DB0334" w:rsidRDefault="003E0B2B" w:rsidP="00BF2DC8">
      <w:pPr>
        <w:rPr>
          <w:rFonts w:asciiTheme="majorHAnsi" w:hAnsiTheme="majorHAnsi"/>
        </w:rPr>
      </w:pPr>
    </w:p>
    <w:p w14:paraId="4BF27728" w14:textId="77777777" w:rsidR="003E0B2B" w:rsidRPr="00DB0334" w:rsidRDefault="003E0B2B" w:rsidP="00BF2DC8">
      <w:pPr>
        <w:rPr>
          <w:rFonts w:asciiTheme="majorHAnsi" w:hAnsiTheme="majorHAnsi"/>
        </w:rPr>
      </w:pPr>
    </w:p>
    <w:p w14:paraId="2FD226C7" w14:textId="77777777" w:rsidR="003E0B2B" w:rsidRPr="00DB0334" w:rsidRDefault="003E0B2B" w:rsidP="00BF2DC8">
      <w:pPr>
        <w:rPr>
          <w:rFonts w:asciiTheme="majorHAnsi" w:hAnsiTheme="majorHAnsi"/>
        </w:rPr>
      </w:pPr>
    </w:p>
    <w:p w14:paraId="2C2673B1" w14:textId="77777777" w:rsidR="004B2E57" w:rsidRPr="00DB0334" w:rsidRDefault="004B2E57" w:rsidP="00BF2DC8">
      <w:pPr>
        <w:rPr>
          <w:rFonts w:asciiTheme="majorHAnsi" w:hAnsiTheme="majorHAnsi"/>
        </w:rPr>
      </w:pPr>
    </w:p>
    <w:p w14:paraId="5A310725" w14:textId="77777777" w:rsidR="004B2E57" w:rsidRPr="00DB0334" w:rsidRDefault="004B2E57" w:rsidP="00BF2DC8">
      <w:pPr>
        <w:rPr>
          <w:rFonts w:asciiTheme="majorHAnsi" w:hAnsiTheme="majorHAnsi"/>
        </w:rPr>
      </w:pPr>
    </w:p>
    <w:p w14:paraId="25EBF8F9" w14:textId="47504834" w:rsidR="00050F7F" w:rsidRDefault="00050F7F" w:rsidP="00BF2DC8">
      <w:pPr>
        <w:pStyle w:val="Heading1"/>
        <w:rPr>
          <w:rFonts w:asciiTheme="majorHAnsi" w:hAnsiTheme="majorHAnsi"/>
          <w:sz w:val="24"/>
          <w:szCs w:val="24"/>
        </w:rPr>
      </w:pPr>
    </w:p>
    <w:p w14:paraId="010114FC" w14:textId="77777777" w:rsidR="00050F7F" w:rsidRPr="00050F7F" w:rsidRDefault="00050F7F" w:rsidP="00050F7F"/>
    <w:p w14:paraId="6DEEDBB6" w14:textId="31B03935" w:rsidR="00050F7F" w:rsidRDefault="00050F7F" w:rsidP="00050F7F">
      <w:pPr>
        <w:pStyle w:val="Heading1"/>
        <w:tabs>
          <w:tab w:val="left" w:pos="8700"/>
        </w:tabs>
      </w:pPr>
      <w:r>
        <w:tab/>
      </w:r>
    </w:p>
    <w:p w14:paraId="53E9809A" w14:textId="0F6A287D" w:rsidR="00BF2DC8" w:rsidRDefault="00D945DF" w:rsidP="00BF2DC8">
      <w:pPr>
        <w:pStyle w:val="Heading1"/>
      </w:pPr>
      <w:r w:rsidRPr="00050F7F">
        <w:br w:type="page"/>
      </w:r>
      <w:bookmarkStart w:id="0" w:name="_Toc353172283"/>
      <w:bookmarkStart w:id="1" w:name="_Toc414007258"/>
      <w:bookmarkStart w:id="2" w:name="_Toc414007422"/>
      <w:bookmarkStart w:id="3" w:name="_Toc414007571"/>
      <w:bookmarkStart w:id="4" w:name="_Toc34916585"/>
      <w:r w:rsidR="00BF2DC8">
        <w:t>Section One: Introduction</w:t>
      </w:r>
      <w:bookmarkEnd w:id="0"/>
      <w:bookmarkEnd w:id="1"/>
      <w:bookmarkEnd w:id="2"/>
      <w:bookmarkEnd w:id="3"/>
      <w:bookmarkEnd w:id="4"/>
    </w:p>
    <w:p w14:paraId="68BB3CD3" w14:textId="4BCA1BE8" w:rsidR="00BF2DC8" w:rsidRPr="00CB4C91" w:rsidRDefault="00BF2DC8" w:rsidP="00CB4C91">
      <w:pPr>
        <w:pStyle w:val="Heading2"/>
      </w:pPr>
      <w:bookmarkStart w:id="5" w:name="_Toc353172284"/>
      <w:bookmarkStart w:id="6" w:name="_Toc414007259"/>
      <w:bookmarkStart w:id="7" w:name="_Toc414007423"/>
      <w:bookmarkStart w:id="8" w:name="_Toc414007572"/>
      <w:bookmarkStart w:id="9" w:name="_Toc34916586"/>
      <w:r w:rsidRPr="00CB4C91">
        <w:t>Background</w:t>
      </w:r>
      <w:bookmarkEnd w:id="5"/>
      <w:bookmarkEnd w:id="6"/>
      <w:bookmarkEnd w:id="7"/>
      <w:bookmarkEnd w:id="8"/>
      <w:bookmarkEnd w:id="9"/>
    </w:p>
    <w:p w14:paraId="721958B8" w14:textId="77777777"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14:paraId="516D8487" w14:textId="77777777" w:rsidR="00E73700" w:rsidRDefault="00E73700" w:rsidP="009D2D9C"/>
    <w:p w14:paraId="71820848" w14:textId="6A93D8EC"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w:t>
      </w:r>
      <w:r w:rsidR="00681923">
        <w:rPr>
          <w:bCs/>
        </w:rPr>
        <w:t>July 1, 2013</w:t>
      </w:r>
      <w:r w:rsidRPr="004B2E57">
        <w:rPr>
          <w:bCs/>
        </w:rPr>
        <w:t xml:space="preserve">. </w:t>
      </w:r>
    </w:p>
    <w:p w14:paraId="248498CF" w14:textId="45C622FA" w:rsidR="00BF2DC8" w:rsidRDefault="00BF2DC8" w:rsidP="00D945DF">
      <w:pPr>
        <w:pStyle w:val="Heading2"/>
      </w:pPr>
      <w:bookmarkStart w:id="10" w:name="_Toc353172286"/>
      <w:bookmarkStart w:id="11" w:name="_Toc414007260"/>
      <w:bookmarkStart w:id="12" w:name="_Toc414007424"/>
      <w:bookmarkStart w:id="13" w:name="_Toc414007573"/>
      <w:bookmarkStart w:id="14" w:name="_Toc34916587"/>
      <w:bookmarkStart w:id="15" w:name="_Hlk127862973"/>
      <w:r>
        <w:t>Related Terminology</w:t>
      </w:r>
      <w:bookmarkEnd w:id="10"/>
      <w:bookmarkEnd w:id="11"/>
      <w:bookmarkEnd w:id="12"/>
      <w:bookmarkEnd w:id="13"/>
      <w:bookmarkEnd w:id="14"/>
    </w:p>
    <w:bookmarkEnd w:id="15"/>
    <w:p w14:paraId="0DE71159" w14:textId="77777777"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updates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14:paraId="74913621" w14:textId="77777777" w:rsidR="0082488A" w:rsidRPr="003E2FCE" w:rsidRDefault="0082488A" w:rsidP="00BF2DC8"/>
    <w:p w14:paraId="01D6960A" w14:textId="77777777"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14:paraId="2046AF76" w14:textId="77777777" w:rsidR="0082488A" w:rsidRPr="003E2FCE" w:rsidRDefault="0082488A" w:rsidP="00BF2DC8"/>
    <w:p w14:paraId="52C613B1" w14:textId="77777777"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14:paraId="13EE4545" w14:textId="77777777" w:rsidR="0082488A" w:rsidRPr="003E2FCE" w:rsidRDefault="0082488A" w:rsidP="00BF2DC8"/>
    <w:p w14:paraId="36E424FC" w14:textId="77777777"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14:paraId="696BA4DF" w14:textId="77777777" w:rsidR="0082488A" w:rsidRPr="003E2FCE" w:rsidRDefault="0082488A" w:rsidP="00BF2DC8"/>
    <w:p w14:paraId="61A0EA3B" w14:textId="77777777"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14:paraId="7546D6DC" w14:textId="77777777" w:rsidR="006B72AB" w:rsidRDefault="006B72AB" w:rsidP="00BF2DC8"/>
    <w:p w14:paraId="39ADB8AC" w14:textId="44F5CA06" w:rsidR="006B72AB" w:rsidRDefault="00F316B0" w:rsidP="00BF2DC8">
      <w:r w:rsidRPr="003E2FCE">
        <w:rPr>
          <w:b/>
        </w:rPr>
        <w:t>Correct Coding Initiative Edits (CCI Edits)</w:t>
      </w:r>
      <w:r w:rsidRPr="003E2FCE">
        <w:t xml:space="preserve">—CMS codes that assist in correct coding and billing procedures. CCI Edits are posted on the </w:t>
      </w:r>
      <w:r w:rsidR="00E34A7E">
        <w:t>ESD</w:t>
      </w:r>
      <w:r w:rsidR="00E34A7E" w:rsidRPr="003E2FCE">
        <w:t xml:space="preserve"> </w:t>
      </w:r>
      <w:r w:rsidRPr="003E2FCE">
        <w:t>website.</w:t>
      </w:r>
    </w:p>
    <w:p w14:paraId="589276F9" w14:textId="77777777" w:rsidR="006B72AB" w:rsidRDefault="006B72AB" w:rsidP="00BF2DC8"/>
    <w:p w14:paraId="05EB1C28" w14:textId="77777777"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14:paraId="27A3DB03" w14:textId="77777777" w:rsidR="0082488A" w:rsidRPr="003E2FCE" w:rsidRDefault="0082488A" w:rsidP="00BF2DC8"/>
    <w:p w14:paraId="5415C992" w14:textId="77777777"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14:paraId="62E2CAD1" w14:textId="77777777" w:rsidR="0082488A" w:rsidRPr="003E2FCE" w:rsidRDefault="0082488A" w:rsidP="00BF2DC8">
      <w:bookmarkStart w:id="16" w:name="_Hlk127863010"/>
    </w:p>
    <w:p w14:paraId="318B9988" w14:textId="17B69A9C" w:rsidR="00F316B0" w:rsidRDefault="00F316B0" w:rsidP="00F316B0">
      <w:r w:rsidRPr="003E2FCE">
        <w:rPr>
          <w:b/>
        </w:rPr>
        <w:t xml:space="preserve">Employment </w:t>
      </w:r>
      <w:r w:rsidR="007C5E4F">
        <w:rPr>
          <w:b/>
        </w:rPr>
        <w:t xml:space="preserve">Standards </w:t>
      </w:r>
      <w:r w:rsidRPr="003E2FCE">
        <w:rPr>
          <w:b/>
        </w:rPr>
        <w:t>Division (</w:t>
      </w:r>
      <w:r w:rsidR="00730A11">
        <w:rPr>
          <w:b/>
        </w:rPr>
        <w:t>ESD</w:t>
      </w:r>
      <w:r w:rsidR="00212263">
        <w:rPr>
          <w:b/>
        </w:rPr>
        <w:t>)</w:t>
      </w:r>
      <w:r w:rsidRPr="003E2FCE">
        <w:rPr>
          <w:b/>
        </w:rPr>
        <w:t xml:space="preserve"> </w:t>
      </w:r>
      <w:r>
        <w:t>—</w:t>
      </w:r>
      <w:r w:rsidRPr="003E2FCE">
        <w:t>The division within the Montana Department of Labor and Industry responsible for regulation of the Montana workers’ compensation system.</w:t>
      </w:r>
    </w:p>
    <w:bookmarkEnd w:id="16"/>
    <w:p w14:paraId="538DB592" w14:textId="77777777" w:rsidR="00F316B0" w:rsidRPr="003E2FCE" w:rsidRDefault="00F316B0" w:rsidP="00F316B0"/>
    <w:p w14:paraId="7E7B8098" w14:textId="77777777"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examinations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14:paraId="63015043" w14:textId="77777777" w:rsidR="0082488A" w:rsidRPr="003E2FCE" w:rsidRDefault="0082488A" w:rsidP="00BF2DC8"/>
    <w:p w14:paraId="4470FCB9" w14:textId="77777777"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14:paraId="3D9C0BA4" w14:textId="77777777" w:rsidR="0082488A" w:rsidRPr="003E2FCE" w:rsidRDefault="0082488A" w:rsidP="00BF2DC8"/>
    <w:p w14:paraId="26776287" w14:textId="77777777"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14:paraId="4D0BA79D" w14:textId="77777777" w:rsidR="0082488A" w:rsidRPr="003E2FCE" w:rsidRDefault="0082488A" w:rsidP="00BF2DC8"/>
    <w:p w14:paraId="532A1251" w14:textId="77777777" w:rsidR="0082488A" w:rsidRPr="003E2FCE" w:rsidRDefault="00BF2DC8" w:rsidP="00BF2DC8">
      <w:r>
        <w:rPr>
          <w:b/>
          <w:bCs/>
        </w:rPr>
        <w:t>Gap—</w:t>
      </w:r>
      <w:r w:rsidR="0082488A" w:rsidRPr="003E2FCE">
        <w:t xml:space="preserve">Services not covered by Medicare and/or not assigned a relative value in the RBRVS system. </w:t>
      </w:r>
    </w:p>
    <w:p w14:paraId="100D96EE" w14:textId="77777777" w:rsidR="0082488A" w:rsidRPr="003E2FCE" w:rsidRDefault="0082488A" w:rsidP="00BF2DC8"/>
    <w:p w14:paraId="7463D258" w14:textId="77777777"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14:paraId="3489686A" w14:textId="77777777" w:rsidR="0082488A" w:rsidRPr="003E2FCE" w:rsidRDefault="0082488A" w:rsidP="00BF2DC8"/>
    <w:p w14:paraId="16777A76" w14:textId="191DB664"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 xml:space="preserve">GMLOS) is the national mean length of stay for each diagnostic related grouper (DRG) as determined and published by </w:t>
      </w:r>
      <w:r w:rsidR="00252415">
        <w:rPr>
          <w:bCs/>
          <w:spacing w:val="2"/>
        </w:rPr>
        <w:t>CMS (</w:t>
      </w:r>
      <w:r w:rsidR="00093BAB">
        <w:rPr>
          <w:bCs/>
          <w:spacing w:val="2"/>
        </w:rPr>
        <w:t>Bolt Super Coder)</w:t>
      </w:r>
      <w:r w:rsidR="00615A37">
        <w:rPr>
          <w:bCs/>
          <w:spacing w:val="2"/>
        </w:rPr>
        <w:t>.</w:t>
      </w:r>
    </w:p>
    <w:p w14:paraId="00A1AD14" w14:textId="77777777" w:rsidR="00BF2DC8" w:rsidRPr="00435EB3" w:rsidRDefault="00BF2DC8" w:rsidP="00BF2DC8">
      <w:pPr>
        <w:rPr>
          <w:spacing w:val="2"/>
        </w:rPr>
      </w:pPr>
    </w:p>
    <w:p w14:paraId="5579922F" w14:textId="77777777"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14:paraId="33E9FE93" w14:textId="77777777" w:rsidR="00A134D8" w:rsidRDefault="00A134D8" w:rsidP="00BF2DC8">
      <w:pPr>
        <w:rPr>
          <w:b/>
          <w:bCs/>
          <w:spacing w:val="-2"/>
        </w:rPr>
      </w:pPr>
    </w:p>
    <w:p w14:paraId="32D8291E" w14:textId="77777777"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14:paraId="29AE23F7" w14:textId="77777777" w:rsidR="00435EB3" w:rsidRPr="003E2FCE" w:rsidRDefault="00435EB3" w:rsidP="00BF2DC8"/>
    <w:p w14:paraId="18A679D3" w14:textId="77777777"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14:paraId="459C44E1" w14:textId="77777777" w:rsidR="00826D08" w:rsidRDefault="00826D08" w:rsidP="00BF2DC8"/>
    <w:p w14:paraId="170B528B" w14:textId="77777777" w:rsidR="00826D08" w:rsidRDefault="00826D08" w:rsidP="00826D08">
      <w:r>
        <w:rPr>
          <w:b/>
          <w:bCs/>
        </w:rPr>
        <w:t>Independent Medical Review (IMR):</w:t>
      </w:r>
      <w:r>
        <w:t xml:space="preserve">  A request by an interested party for the medical director to review medical records for the medical necessity of a denied service.   </w:t>
      </w:r>
    </w:p>
    <w:p w14:paraId="286A5A11" w14:textId="77777777" w:rsidR="0082488A" w:rsidRPr="003E2FCE" w:rsidRDefault="0082488A" w:rsidP="00BF2DC8"/>
    <w:p w14:paraId="130E012A" w14:textId="77777777"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14:paraId="1B4F6A92" w14:textId="77777777" w:rsidR="0082488A" w:rsidRPr="003E2FCE" w:rsidRDefault="0082488A" w:rsidP="00BF2DC8"/>
    <w:p w14:paraId="50B8335D" w14:textId="28664331"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w:t>
      </w:r>
      <w:r w:rsidR="00E34A7E">
        <w:t xml:space="preserve">ESD </w:t>
      </w:r>
      <w:r w:rsidR="008D0061">
        <w:t>website.</w:t>
      </w:r>
    </w:p>
    <w:p w14:paraId="459745D6" w14:textId="77777777" w:rsidR="0082488A" w:rsidRPr="003E2FCE" w:rsidRDefault="0082488A" w:rsidP="00BF2DC8"/>
    <w:p w14:paraId="575EEE6B" w14:textId="77777777" w:rsidR="0082488A" w:rsidRPr="003E2FCE" w:rsidRDefault="0082488A" w:rsidP="00BF2DC8">
      <w:pPr>
        <w:rPr>
          <w:spacing w:val="-3"/>
        </w:rPr>
      </w:pPr>
      <w:r w:rsidRPr="003E2FCE">
        <w:rPr>
          <w:b/>
          <w:bCs/>
        </w:rPr>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14:paraId="6FED6A3E" w14:textId="77777777" w:rsidR="0082488A" w:rsidRPr="003E2FCE" w:rsidRDefault="0082488A" w:rsidP="00BF2DC8"/>
    <w:p w14:paraId="0211B188" w14:textId="77777777"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14:paraId="7BD45C2F" w14:textId="77777777" w:rsidR="00435EB3" w:rsidRDefault="00435EB3" w:rsidP="00BF2DC8"/>
    <w:p w14:paraId="1CE1769B" w14:textId="77777777"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14:paraId="108FE8B6" w14:textId="77777777" w:rsidR="0082488A" w:rsidRPr="003E2FCE" w:rsidRDefault="0082488A" w:rsidP="00BF2DC8"/>
    <w:p w14:paraId="7BDF3DC5" w14:textId="77777777"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14:paraId="3E519C7D" w14:textId="77777777" w:rsidR="00823960" w:rsidRPr="003E2FCE" w:rsidRDefault="00823960" w:rsidP="00BF2DC8"/>
    <w:p w14:paraId="5BED2CDE" w14:textId="77777777"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weight assigned by Medicare to APC codes which measure the resource requirements of the service and is based on the median cost of services</w:t>
      </w:r>
    </w:p>
    <w:p w14:paraId="34DF2919" w14:textId="77777777" w:rsidR="00823960" w:rsidRPr="003E2FCE" w:rsidRDefault="00823960" w:rsidP="00BF2DC8"/>
    <w:p w14:paraId="703885DC" w14:textId="77777777"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14:paraId="43744AB3" w14:textId="77777777" w:rsidR="00435EB3" w:rsidRPr="003E2FCE" w:rsidRDefault="00435EB3" w:rsidP="00BF2DC8"/>
    <w:p w14:paraId="5F627F94" w14:textId="762C8065"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 xml:space="preserve">The codes are listed on the </w:t>
      </w:r>
      <w:r w:rsidR="00E34A7E">
        <w:t>ESD</w:t>
      </w:r>
      <w:r w:rsidR="00E34A7E" w:rsidRPr="003E2FCE">
        <w:t xml:space="preserve"> </w:t>
      </w:r>
      <w:r w:rsidRPr="003E2FCE">
        <w:t>website.</w:t>
      </w:r>
    </w:p>
    <w:p w14:paraId="60C546B3" w14:textId="77777777" w:rsidR="00947674" w:rsidRDefault="00947674" w:rsidP="00BF2DC8"/>
    <w:p w14:paraId="0B363D7D" w14:textId="6834BD0A" w:rsidR="0082488A" w:rsidRPr="003E2FCE" w:rsidRDefault="00BF2DC8" w:rsidP="00BF2DC8">
      <w:r>
        <w:rPr>
          <w:b/>
          <w:bCs/>
        </w:rPr>
        <w:t>Usual and Customary Charge</w:t>
      </w:r>
      <w:r w:rsidR="005C1F24">
        <w:rPr>
          <w:b/>
          <w:bCs/>
        </w:rPr>
        <w:t xml:space="preserve"> </w:t>
      </w:r>
      <w:r w:rsidR="008B1D2B">
        <w:rPr>
          <w:b/>
          <w:bCs/>
        </w:rPr>
        <w:t>(U&amp;C)</w:t>
      </w:r>
      <w:r w:rsidR="00252415">
        <w:rPr>
          <w:spacing w:val="8"/>
        </w:rPr>
        <w:t>—</w:t>
      </w:r>
      <w:r w:rsidR="00252415" w:rsidRPr="003E2FCE">
        <w:rPr>
          <w:spacing w:val="4"/>
        </w:rPr>
        <w:t xml:space="preserve"> “</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14:paraId="3AE18C93" w14:textId="77777777" w:rsidR="00823960" w:rsidRPr="003E2FCE" w:rsidRDefault="00823960" w:rsidP="00BF2DC8"/>
    <w:p w14:paraId="79DAA4A9" w14:textId="77777777"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group</w:t>
      </w:r>
    </w:p>
    <w:p w14:paraId="53EBEF9D" w14:textId="77777777" w:rsidR="0082488A" w:rsidRPr="003E2FCE" w:rsidRDefault="0082488A" w:rsidP="00BF2DC8"/>
    <w:p w14:paraId="1D543C91" w14:textId="77777777"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14:paraId="43A45B0C" w14:textId="77777777" w:rsidR="0082488A" w:rsidRPr="003E2FCE" w:rsidRDefault="0082488A" w:rsidP="00BF2DC8"/>
    <w:p w14:paraId="1345A312" w14:textId="275A43CC" w:rsidR="0074676B" w:rsidRPr="00CB4C91" w:rsidRDefault="00D945DF" w:rsidP="00CB4C91">
      <w:pPr>
        <w:pStyle w:val="Heading2"/>
      </w:pPr>
      <w:r>
        <w:br w:type="page"/>
      </w:r>
      <w:bookmarkStart w:id="17" w:name="_Toc353172287"/>
      <w:bookmarkStart w:id="18" w:name="_Toc414007261"/>
      <w:bookmarkStart w:id="19" w:name="_Toc414007425"/>
      <w:bookmarkStart w:id="20" w:name="_Toc414007574"/>
      <w:bookmarkStart w:id="21" w:name="_Toc34916588"/>
      <w:r w:rsidR="00A448A6" w:rsidRPr="00CB4C91">
        <w:t>Components</w:t>
      </w:r>
      <w:r w:rsidR="0074676B" w:rsidRPr="00CB4C91">
        <w:t xml:space="preserve"> in Montana WC Facility Fee Schedule</w:t>
      </w:r>
      <w:bookmarkEnd w:id="17"/>
      <w:bookmarkEnd w:id="18"/>
      <w:bookmarkEnd w:id="19"/>
      <w:bookmarkEnd w:id="20"/>
      <w:bookmarkEnd w:id="21"/>
    </w:p>
    <w:p w14:paraId="718D967E" w14:textId="77777777" w:rsidR="0082488A" w:rsidRPr="00D3781E" w:rsidRDefault="0074676B" w:rsidP="004D7F30">
      <w:pPr>
        <w:pStyle w:val="Heading3"/>
        <w:numPr>
          <w:ilvl w:val="0"/>
          <w:numId w:val="20"/>
        </w:numPr>
        <w:rPr>
          <w:rFonts w:ascii="Times New Roman" w:hAnsi="Times New Roman"/>
        </w:rPr>
      </w:pPr>
      <w:bookmarkStart w:id="22" w:name="_Toc414007262"/>
      <w:bookmarkStart w:id="23" w:name="_Toc414007426"/>
      <w:bookmarkStart w:id="24" w:name="_Toc414007575"/>
      <w:r w:rsidRPr="00D3781E">
        <w:rPr>
          <w:rFonts w:ascii="Times New Roman" w:hAnsi="Times New Roman"/>
        </w:rPr>
        <w:t>The Montana Hospital Inpatient Services MS-DRG Reimbursement Fee Schedule</w:t>
      </w:r>
      <w:bookmarkEnd w:id="22"/>
      <w:bookmarkEnd w:id="23"/>
      <w:bookmarkEnd w:id="24"/>
    </w:p>
    <w:p w14:paraId="5FD35F60" w14:textId="77777777" w:rsidR="00435EB3" w:rsidRPr="00D3781E" w:rsidRDefault="00435EB3" w:rsidP="004D6207">
      <w:pPr>
        <w:ind w:left="360"/>
        <w:rPr>
          <w:b/>
          <w:u w:val="single"/>
        </w:rPr>
      </w:pPr>
      <w:r w:rsidRPr="00D3781E">
        <w:rPr>
          <w:b/>
          <w:u w:val="single"/>
        </w:rPr>
        <w:t>MS-DRG</w:t>
      </w:r>
    </w:p>
    <w:p w14:paraId="4AFECC9A" w14:textId="77777777" w:rsidR="0082488A" w:rsidRPr="00D3781E" w:rsidRDefault="00823960" w:rsidP="004D6207">
      <w:pPr>
        <w:ind w:left="360"/>
      </w:pPr>
      <w:r w:rsidRPr="00D3781E">
        <w:t>The list of MS-DRG codes</w:t>
      </w:r>
      <w:r w:rsidR="0074676B" w:rsidRPr="00D3781E">
        <w:t xml:space="preserve"> for inpatient reimbursement.</w:t>
      </w:r>
    </w:p>
    <w:p w14:paraId="2BFC0AE9" w14:textId="77777777" w:rsidR="0074676B" w:rsidRPr="00D3781E" w:rsidRDefault="0074676B" w:rsidP="004D6207">
      <w:pPr>
        <w:ind w:left="360"/>
      </w:pPr>
    </w:p>
    <w:p w14:paraId="7F3B53BF" w14:textId="77777777" w:rsidR="00435EB3" w:rsidRPr="00D3781E" w:rsidRDefault="00435EB3" w:rsidP="004D6207">
      <w:pPr>
        <w:ind w:left="360"/>
        <w:rPr>
          <w:b/>
          <w:u w:val="single"/>
        </w:rPr>
      </w:pPr>
      <w:r w:rsidRPr="00D3781E">
        <w:rPr>
          <w:b/>
          <w:u w:val="single"/>
        </w:rPr>
        <w:t>MS-DRG Title</w:t>
      </w:r>
    </w:p>
    <w:p w14:paraId="2208D50D" w14:textId="77777777" w:rsidR="0074676B" w:rsidRPr="00D3781E" w:rsidRDefault="00823960" w:rsidP="004D6207">
      <w:pPr>
        <w:ind w:left="360"/>
      </w:pPr>
      <w:r w:rsidRPr="00D3781E">
        <w:t>Code d</w:t>
      </w:r>
      <w:r w:rsidR="0074676B" w:rsidRPr="00D3781E">
        <w:t>escriptor</w:t>
      </w:r>
      <w:r w:rsidRPr="00D3781E">
        <w:t>s</w:t>
      </w:r>
      <w:r w:rsidR="00131BA7" w:rsidRPr="00D3781E">
        <w:t>.</w:t>
      </w:r>
    </w:p>
    <w:p w14:paraId="47E22791" w14:textId="77777777" w:rsidR="0074676B" w:rsidRPr="00D3781E" w:rsidRDefault="0074676B" w:rsidP="004D6207">
      <w:pPr>
        <w:ind w:left="360"/>
      </w:pPr>
    </w:p>
    <w:p w14:paraId="4A14C955" w14:textId="77777777" w:rsidR="00435EB3" w:rsidRPr="00D3781E" w:rsidRDefault="0074676B" w:rsidP="004D6207">
      <w:pPr>
        <w:ind w:left="360"/>
      </w:pPr>
      <w:r w:rsidRPr="00D3781E">
        <w:rPr>
          <w:b/>
          <w:u w:val="single"/>
        </w:rPr>
        <w:t>Geometric</w:t>
      </w:r>
    </w:p>
    <w:p w14:paraId="1A7C8BB0" w14:textId="77777777" w:rsidR="0074676B" w:rsidRPr="00D3781E" w:rsidRDefault="00435EB3" w:rsidP="004D6207">
      <w:pPr>
        <w:ind w:left="360"/>
      </w:pPr>
      <w:r w:rsidRPr="00D3781E">
        <w:t>Geometric Mean Length of Stay</w:t>
      </w:r>
      <w:r w:rsidR="00131BA7" w:rsidRPr="00D3781E">
        <w:t>.</w:t>
      </w:r>
    </w:p>
    <w:p w14:paraId="37078F31" w14:textId="77777777" w:rsidR="0074676B" w:rsidRPr="00D3781E" w:rsidRDefault="0074676B" w:rsidP="004D6207">
      <w:pPr>
        <w:ind w:left="360"/>
      </w:pPr>
    </w:p>
    <w:p w14:paraId="380D23BE" w14:textId="77777777" w:rsidR="00435EB3" w:rsidRPr="00D3781E" w:rsidRDefault="0074676B" w:rsidP="004D6207">
      <w:pPr>
        <w:ind w:left="360"/>
      </w:pPr>
      <w:r w:rsidRPr="00D3781E">
        <w:rPr>
          <w:b/>
          <w:u w:val="single"/>
        </w:rPr>
        <w:t>Weights</w:t>
      </w:r>
    </w:p>
    <w:p w14:paraId="6B20FACD" w14:textId="77777777" w:rsidR="0074676B" w:rsidRPr="00D3781E" w:rsidRDefault="00823960" w:rsidP="004D6207">
      <w:pPr>
        <w:ind w:left="360"/>
      </w:pPr>
      <w:r w:rsidRPr="00D3781E">
        <w:t>The factor used to multiply by the base rate to determine reimbursement.</w:t>
      </w:r>
    </w:p>
    <w:p w14:paraId="6B426EF3" w14:textId="77777777" w:rsidR="0074676B" w:rsidRPr="00D3781E" w:rsidRDefault="0074676B" w:rsidP="004D6207">
      <w:pPr>
        <w:ind w:left="360"/>
      </w:pPr>
    </w:p>
    <w:p w14:paraId="6EA75071" w14:textId="77777777" w:rsidR="00435EB3" w:rsidRPr="00D3781E" w:rsidRDefault="0074676B" w:rsidP="004D6207">
      <w:pPr>
        <w:ind w:left="360"/>
      </w:pPr>
      <w:r w:rsidRPr="00D3781E">
        <w:rPr>
          <w:b/>
          <w:u w:val="single"/>
        </w:rPr>
        <w:t>Montana Reimbursement Amount</w:t>
      </w:r>
    </w:p>
    <w:p w14:paraId="23C5FC1C" w14:textId="77777777" w:rsidR="0074676B" w:rsidRPr="00D3781E" w:rsidRDefault="0074676B" w:rsidP="004D6207">
      <w:pPr>
        <w:ind w:left="360"/>
      </w:pPr>
      <w:r w:rsidRPr="00D3781E">
        <w:t>The reimbursement for each MS-DRG billed by the facility.</w:t>
      </w:r>
    </w:p>
    <w:p w14:paraId="7D6577CA" w14:textId="77777777" w:rsidR="0074676B" w:rsidRPr="00D3781E" w:rsidRDefault="0074676B" w:rsidP="00BF2DC8"/>
    <w:p w14:paraId="38B1745F" w14:textId="77777777" w:rsidR="00CB4C91" w:rsidRPr="00D3781E" w:rsidRDefault="00435EB3" w:rsidP="004D7F30">
      <w:pPr>
        <w:pStyle w:val="Heading3"/>
        <w:numPr>
          <w:ilvl w:val="0"/>
          <w:numId w:val="20"/>
        </w:numPr>
        <w:rPr>
          <w:rFonts w:ascii="Times New Roman" w:hAnsi="Times New Roman"/>
        </w:rPr>
      </w:pPr>
      <w:bookmarkStart w:id="25" w:name="_Toc414007263"/>
      <w:bookmarkStart w:id="26" w:name="_Toc414007427"/>
      <w:bookmarkStart w:id="27" w:name="_Toc414007576"/>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APC</w:t>
      </w:r>
      <w:bookmarkEnd w:id="25"/>
      <w:bookmarkEnd w:id="26"/>
      <w:bookmarkEnd w:id="27"/>
      <w:r w:rsidR="00C017AC" w:rsidRPr="00D3781E">
        <w:rPr>
          <w:rFonts w:ascii="Times New Roman" w:hAnsi="Times New Roman"/>
        </w:rPr>
        <w:t xml:space="preserve"> </w:t>
      </w:r>
    </w:p>
    <w:p w14:paraId="0ACA413F" w14:textId="77777777" w:rsidR="002A5157" w:rsidRPr="00D3781E" w:rsidRDefault="00CB4C91" w:rsidP="00CB4C91">
      <w:pPr>
        <w:ind w:left="360"/>
      </w:pPr>
      <w:r w:rsidRPr="00D3781E">
        <w:t xml:space="preserve">The Montana Hospital Outpatient and ASC Fee Schedule Organized by APC was </w:t>
      </w:r>
      <w:r w:rsidR="00C017AC" w:rsidRPr="00D3781E">
        <w:t>combined with C below as of July 1, 2015</w:t>
      </w:r>
      <w:r w:rsidRPr="00D3781E">
        <w:t>.</w:t>
      </w:r>
    </w:p>
    <w:p w14:paraId="0C35D479" w14:textId="77777777" w:rsidR="004D6207" w:rsidRPr="00D3781E" w:rsidRDefault="004D6207" w:rsidP="004D7F30">
      <w:pPr>
        <w:pStyle w:val="Heading3"/>
        <w:numPr>
          <w:ilvl w:val="0"/>
          <w:numId w:val="20"/>
        </w:numPr>
        <w:rPr>
          <w:rFonts w:ascii="Times New Roman" w:hAnsi="Times New Roman"/>
        </w:rPr>
      </w:pPr>
      <w:bookmarkStart w:id="28" w:name="_Toc414007264"/>
      <w:bookmarkStart w:id="29" w:name="_Toc414007428"/>
      <w:bookmarkStart w:id="30" w:name="_Toc414007577"/>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CPT/HCPCS</w:t>
      </w:r>
      <w:bookmarkEnd w:id="28"/>
      <w:bookmarkEnd w:id="29"/>
      <w:bookmarkEnd w:id="30"/>
    </w:p>
    <w:p w14:paraId="0824DD7C" w14:textId="77777777" w:rsidR="004D6207" w:rsidRPr="00D3781E" w:rsidRDefault="007B7C61" w:rsidP="004D6207">
      <w:pPr>
        <w:ind w:left="360"/>
      </w:pPr>
      <w:r w:rsidRPr="00D3781E">
        <w:rPr>
          <w:b/>
          <w:u w:val="single"/>
        </w:rPr>
        <w:t>CPT/</w:t>
      </w:r>
      <w:r w:rsidR="004D6207" w:rsidRPr="00D3781E">
        <w:rPr>
          <w:b/>
          <w:u w:val="single"/>
        </w:rPr>
        <w:t>HCPCS Code</w:t>
      </w:r>
    </w:p>
    <w:p w14:paraId="09518204" w14:textId="77777777" w:rsidR="004D6207" w:rsidRPr="00D3781E" w:rsidRDefault="004D6207" w:rsidP="004D6207">
      <w:pPr>
        <w:ind w:left="360"/>
      </w:pPr>
      <w:r w:rsidRPr="00D3781E">
        <w:t>The list of HCPCS codes for correct calculation of reimbursement</w:t>
      </w:r>
    </w:p>
    <w:p w14:paraId="16F58E20" w14:textId="77777777" w:rsidR="004D6207" w:rsidRPr="00D3781E" w:rsidRDefault="004D6207" w:rsidP="004D6207">
      <w:pPr>
        <w:ind w:left="360"/>
      </w:pPr>
    </w:p>
    <w:p w14:paraId="655A1DB7" w14:textId="77777777" w:rsidR="005C1F24" w:rsidRPr="00D3781E" w:rsidRDefault="005C1F24" w:rsidP="005C1F24">
      <w:pPr>
        <w:ind w:left="360"/>
      </w:pPr>
      <w:r w:rsidRPr="00D3781E">
        <w:rPr>
          <w:b/>
          <w:u w:val="single"/>
        </w:rPr>
        <w:t>APC</w:t>
      </w:r>
    </w:p>
    <w:p w14:paraId="4D32E93F" w14:textId="77777777" w:rsidR="005C1F24" w:rsidRPr="00D3781E" w:rsidRDefault="005C1F24" w:rsidP="005C1F24">
      <w:pPr>
        <w:ind w:left="360"/>
      </w:pPr>
      <w:r w:rsidRPr="00D3781E">
        <w:t>The list of APC codes that correlate with the HCPCS codes</w:t>
      </w:r>
      <w:r w:rsidR="00C017AC" w:rsidRPr="00D3781E">
        <w:br/>
      </w:r>
    </w:p>
    <w:p w14:paraId="352AE1B7" w14:textId="77777777" w:rsidR="004D6207" w:rsidRPr="00D3781E" w:rsidRDefault="004D6207" w:rsidP="004D6207">
      <w:pPr>
        <w:ind w:left="360"/>
      </w:pPr>
      <w:r w:rsidRPr="00D3781E">
        <w:rPr>
          <w:b/>
          <w:u w:val="single"/>
        </w:rPr>
        <w:t>SI</w:t>
      </w:r>
    </w:p>
    <w:p w14:paraId="4921FC6D" w14:textId="77777777" w:rsidR="004D6207" w:rsidRPr="00D3781E" w:rsidRDefault="004D6207" w:rsidP="004D6207">
      <w:pPr>
        <w:ind w:left="360"/>
      </w:pPr>
      <w:r w:rsidRPr="00D3781E">
        <w:t>The related Status Indicator code for correct calculation of reimbursement</w:t>
      </w:r>
    </w:p>
    <w:p w14:paraId="37DDBE5C" w14:textId="77777777" w:rsidR="004D6207" w:rsidRPr="00D3781E" w:rsidRDefault="004D6207" w:rsidP="004D6207">
      <w:pPr>
        <w:ind w:left="360"/>
      </w:pPr>
    </w:p>
    <w:p w14:paraId="50DCA451" w14:textId="77777777" w:rsidR="004D6207" w:rsidRPr="00D3781E" w:rsidRDefault="004D6207" w:rsidP="004D6207">
      <w:pPr>
        <w:ind w:left="360"/>
      </w:pPr>
      <w:r w:rsidRPr="00D3781E">
        <w:rPr>
          <w:b/>
          <w:u w:val="single"/>
        </w:rPr>
        <w:t>Relative Weight</w:t>
      </w:r>
    </w:p>
    <w:p w14:paraId="3B98898C" w14:textId="77777777" w:rsidR="004D6207" w:rsidRPr="00D3781E" w:rsidRDefault="004D6207" w:rsidP="004D6207">
      <w:pPr>
        <w:ind w:left="360"/>
      </w:pPr>
      <w:r w:rsidRPr="00D3781E">
        <w:t>The factor used to multiply by the base rate to determine reimbursement.</w:t>
      </w:r>
    </w:p>
    <w:p w14:paraId="65E19CB2" w14:textId="77777777" w:rsidR="004D6207" w:rsidRPr="00D3781E" w:rsidRDefault="004D6207" w:rsidP="004D6207">
      <w:pPr>
        <w:ind w:left="360"/>
      </w:pPr>
    </w:p>
    <w:p w14:paraId="1B453487" w14:textId="77777777" w:rsidR="004D6207" w:rsidRPr="00D3781E" w:rsidRDefault="004D6207" w:rsidP="004D6207">
      <w:pPr>
        <w:ind w:left="360"/>
      </w:pPr>
      <w:r w:rsidRPr="00D3781E">
        <w:rPr>
          <w:b/>
          <w:u w:val="single"/>
        </w:rPr>
        <w:t>MT Hospital Rate</w:t>
      </w:r>
    </w:p>
    <w:p w14:paraId="48FCED0B" w14:textId="77777777" w:rsidR="004D6207" w:rsidRPr="00D3781E" w:rsidRDefault="004D6207" w:rsidP="004D6207">
      <w:pPr>
        <w:ind w:left="360"/>
      </w:pPr>
      <w:r w:rsidRPr="00D3781E">
        <w:t>The reimbursement for services provided in an outpatient hospital setting</w:t>
      </w:r>
    </w:p>
    <w:p w14:paraId="2A1E9C35" w14:textId="77777777" w:rsidR="004D6207" w:rsidRPr="00D3781E" w:rsidRDefault="004D6207" w:rsidP="004D6207">
      <w:pPr>
        <w:ind w:left="360"/>
      </w:pPr>
    </w:p>
    <w:p w14:paraId="735B7597" w14:textId="77777777" w:rsidR="004D6207" w:rsidRPr="00D3781E" w:rsidRDefault="004D6207" w:rsidP="004D6207">
      <w:pPr>
        <w:ind w:left="360"/>
      </w:pPr>
      <w:r w:rsidRPr="00D3781E">
        <w:rPr>
          <w:b/>
          <w:u w:val="single"/>
        </w:rPr>
        <w:t>MT ASC Rate</w:t>
      </w:r>
    </w:p>
    <w:p w14:paraId="16BB27FB" w14:textId="77777777" w:rsidR="004D6207" w:rsidRPr="00D3781E" w:rsidRDefault="004D6207" w:rsidP="004D6207">
      <w:pPr>
        <w:ind w:left="360"/>
      </w:pPr>
      <w:r w:rsidRPr="00D3781E">
        <w:t>The reimbursement for services provided in an ambulatory surgical center.</w:t>
      </w:r>
    </w:p>
    <w:p w14:paraId="24F9810E" w14:textId="77777777" w:rsidR="005C1F24" w:rsidRPr="00D3781E" w:rsidRDefault="005C1F24" w:rsidP="004D6207">
      <w:pPr>
        <w:ind w:left="360"/>
      </w:pPr>
    </w:p>
    <w:p w14:paraId="12D8CAC2" w14:textId="77777777" w:rsidR="005C1F24" w:rsidRPr="00D3781E" w:rsidRDefault="00402FBE" w:rsidP="00D26857">
      <w:pPr>
        <w:pStyle w:val="Heading3"/>
        <w:rPr>
          <w:rFonts w:ascii="Times New Roman" w:hAnsi="Times New Roman"/>
        </w:rPr>
      </w:pPr>
      <w:bookmarkStart w:id="31" w:name="_Toc414007265"/>
      <w:bookmarkStart w:id="32" w:name="_Toc414007429"/>
      <w:bookmarkStart w:id="33" w:name="_Toc414007578"/>
      <w:r w:rsidRPr="00D3781E">
        <w:rPr>
          <w:rFonts w:ascii="Times New Roman" w:hAnsi="Times New Roman"/>
        </w:rPr>
        <w:t xml:space="preserve">C.1 </w:t>
      </w:r>
      <w:r w:rsidR="005C1F24" w:rsidRPr="00D3781E">
        <w:rPr>
          <w:rFonts w:ascii="Times New Roman" w:hAnsi="Times New Roman"/>
        </w:rPr>
        <w:t>Organized by Code on Dental Procedures and Nomenclature (CDT)</w:t>
      </w:r>
      <w:bookmarkEnd w:id="31"/>
      <w:bookmarkEnd w:id="32"/>
      <w:bookmarkEnd w:id="33"/>
    </w:p>
    <w:p w14:paraId="21E731B2" w14:textId="77777777" w:rsidR="005C1F24" w:rsidRPr="00D3781E" w:rsidRDefault="005C1F24" w:rsidP="00BD18FC">
      <w:r w:rsidRPr="00D3781E">
        <w:t>The reimbursement for facility charges for dental procedures.</w:t>
      </w:r>
    </w:p>
    <w:p w14:paraId="3D6A3C80" w14:textId="77777777" w:rsidR="00BD18FC" w:rsidRPr="00D3781E" w:rsidRDefault="00BD18FC" w:rsidP="00BD18FC">
      <w:bookmarkStart w:id="34" w:name="_Toc414007266"/>
      <w:bookmarkStart w:id="35" w:name="_Toc414007430"/>
      <w:bookmarkStart w:id="36" w:name="_Toc414007579"/>
    </w:p>
    <w:p w14:paraId="2F9FD53D" w14:textId="77777777" w:rsidR="004D6207" w:rsidRPr="00D3781E" w:rsidRDefault="00BD18FC" w:rsidP="00BD18FC">
      <w:pPr>
        <w:rPr>
          <w:b/>
        </w:rPr>
      </w:pPr>
      <w:r w:rsidRPr="00D3781E">
        <w:rPr>
          <w:b/>
        </w:rPr>
        <w:t xml:space="preserve">D. </w:t>
      </w:r>
      <w:r w:rsidR="004D6207" w:rsidRPr="00D3781E">
        <w:rPr>
          <w:b/>
        </w:rPr>
        <w:t>The Montana Ambulance Fee Schedule</w:t>
      </w:r>
      <w:bookmarkEnd w:id="34"/>
      <w:bookmarkEnd w:id="35"/>
      <w:bookmarkEnd w:id="36"/>
    </w:p>
    <w:p w14:paraId="21C45DBA" w14:textId="77777777" w:rsidR="004D6207" w:rsidRPr="00D3781E" w:rsidRDefault="004D6207" w:rsidP="004D6207">
      <w:pPr>
        <w:ind w:left="360"/>
      </w:pPr>
      <w:r w:rsidRPr="00D3781E">
        <w:rPr>
          <w:b/>
          <w:u w:val="single"/>
        </w:rPr>
        <w:t>HCPCS</w:t>
      </w:r>
    </w:p>
    <w:p w14:paraId="054C76E0" w14:textId="77777777" w:rsidR="004D6207" w:rsidRPr="00D3781E" w:rsidRDefault="004D6207" w:rsidP="004D6207">
      <w:pPr>
        <w:ind w:left="360"/>
      </w:pPr>
      <w:r w:rsidRPr="00D3781E">
        <w:t>The list of HCPCS codes for correct calculation of reimbursement</w:t>
      </w:r>
      <w:r w:rsidR="00131BA7" w:rsidRPr="00D3781E">
        <w:t>.</w:t>
      </w:r>
    </w:p>
    <w:p w14:paraId="61791BBB" w14:textId="77777777" w:rsidR="004D6207" w:rsidRPr="00D3781E" w:rsidRDefault="004D6207" w:rsidP="004D6207">
      <w:pPr>
        <w:ind w:left="360"/>
      </w:pPr>
    </w:p>
    <w:p w14:paraId="7E29C326" w14:textId="77777777" w:rsidR="00402FBE" w:rsidRPr="00D3781E" w:rsidRDefault="00402FBE" w:rsidP="00402FBE">
      <w:pPr>
        <w:ind w:left="360"/>
        <w:rPr>
          <w:b/>
          <w:u w:val="single"/>
        </w:rPr>
      </w:pPr>
      <w:r w:rsidRPr="00D3781E">
        <w:rPr>
          <w:b/>
          <w:u w:val="single"/>
        </w:rPr>
        <w:t>Descriptors</w:t>
      </w:r>
    </w:p>
    <w:p w14:paraId="2330906D" w14:textId="77777777" w:rsidR="00402FBE" w:rsidRPr="00D3781E" w:rsidRDefault="001935B7" w:rsidP="004D6207">
      <w:pPr>
        <w:ind w:left="360"/>
      </w:pPr>
      <w:r w:rsidRPr="00D3781E">
        <w:t>The descriptions of the HCPCS codes for ambulance services.</w:t>
      </w:r>
    </w:p>
    <w:p w14:paraId="192176BF" w14:textId="77777777" w:rsidR="001935B7" w:rsidRPr="00D3781E" w:rsidRDefault="001935B7" w:rsidP="004D6207">
      <w:pPr>
        <w:ind w:left="360"/>
      </w:pPr>
    </w:p>
    <w:p w14:paraId="33D54C5D" w14:textId="77777777" w:rsidR="003310C2" w:rsidRPr="00D3781E" w:rsidRDefault="004D6207" w:rsidP="004D6207">
      <w:pPr>
        <w:ind w:left="360"/>
      </w:pPr>
      <w:r w:rsidRPr="00D3781E">
        <w:rPr>
          <w:b/>
          <w:u w:val="single"/>
        </w:rPr>
        <w:t>WC Urban Base Rate</w:t>
      </w:r>
      <w:r w:rsidRPr="00D3781E">
        <w:t xml:space="preserve"> </w:t>
      </w:r>
    </w:p>
    <w:p w14:paraId="18DF507F" w14:textId="77777777" w:rsidR="004D6207" w:rsidRPr="00D3781E" w:rsidRDefault="004D6207" w:rsidP="004D6207">
      <w:pPr>
        <w:ind w:left="360"/>
      </w:pPr>
      <w:r w:rsidRPr="00D3781E">
        <w:t>The rates for Missoula, Great Falls and Billings, excluding air ambulance</w:t>
      </w:r>
    </w:p>
    <w:p w14:paraId="4A1FE144" w14:textId="77777777" w:rsidR="004D6207" w:rsidRPr="00D3781E" w:rsidRDefault="004D6207" w:rsidP="004D6207">
      <w:pPr>
        <w:ind w:left="360"/>
      </w:pPr>
    </w:p>
    <w:p w14:paraId="4411D255" w14:textId="77777777" w:rsidR="004D6207" w:rsidRPr="00D3781E" w:rsidRDefault="004D6207" w:rsidP="004D6207">
      <w:pPr>
        <w:ind w:left="360"/>
      </w:pPr>
      <w:r w:rsidRPr="00D3781E">
        <w:rPr>
          <w:b/>
          <w:u w:val="single"/>
        </w:rPr>
        <w:t>WC Rural Base Rate</w:t>
      </w:r>
    </w:p>
    <w:p w14:paraId="7ABEDE8B" w14:textId="77777777" w:rsidR="004D6207" w:rsidRPr="00D3781E" w:rsidRDefault="004D6207" w:rsidP="004D6207">
      <w:pPr>
        <w:ind w:left="360"/>
      </w:pPr>
      <w:r w:rsidRPr="00D3781E">
        <w:t>The rates for the remainder of the state, excluding air ambulance</w:t>
      </w:r>
      <w:r w:rsidR="00131BA7" w:rsidRPr="00D3781E">
        <w:t>.</w:t>
      </w:r>
    </w:p>
    <w:p w14:paraId="076C6845" w14:textId="77777777" w:rsidR="004D6207" w:rsidRPr="00D3781E" w:rsidRDefault="004D6207" w:rsidP="004D6207">
      <w:pPr>
        <w:ind w:left="360"/>
      </w:pPr>
    </w:p>
    <w:p w14:paraId="64E8D696" w14:textId="77777777" w:rsidR="004D6207" w:rsidRPr="00D3781E" w:rsidRDefault="00402FBE" w:rsidP="004D6207">
      <w:pPr>
        <w:ind w:left="360"/>
      </w:pPr>
      <w:r w:rsidRPr="00D3781E">
        <w:rPr>
          <w:b/>
          <w:u w:val="single"/>
        </w:rPr>
        <w:t xml:space="preserve">Rural Ground </w:t>
      </w:r>
      <w:r w:rsidR="004D6207" w:rsidRPr="00D3781E">
        <w:rPr>
          <w:b/>
          <w:u w:val="single"/>
        </w:rPr>
        <w:t>Miles</w:t>
      </w:r>
    </w:p>
    <w:p w14:paraId="537D292F" w14:textId="77777777" w:rsidR="004D6207" w:rsidRPr="00D3781E" w:rsidRDefault="004D6207" w:rsidP="004D6207">
      <w:pPr>
        <w:ind w:left="360"/>
      </w:pPr>
      <w:r w:rsidRPr="00D3781E">
        <w:t>The rate of reimbursement for ground or air mileage</w:t>
      </w:r>
      <w:r w:rsidR="00131BA7" w:rsidRPr="00D3781E">
        <w:t>.</w:t>
      </w:r>
    </w:p>
    <w:p w14:paraId="03A1D11C" w14:textId="77777777" w:rsidR="00402FBE" w:rsidRPr="00D3781E" w:rsidRDefault="00BD18FC" w:rsidP="00BD18FC">
      <w:pPr>
        <w:pStyle w:val="Heading3"/>
        <w:rPr>
          <w:rFonts w:ascii="Times New Roman" w:hAnsi="Times New Roman"/>
        </w:rPr>
      </w:pPr>
      <w:bookmarkStart w:id="37" w:name="_Toc414007267"/>
      <w:bookmarkStart w:id="38" w:name="_Toc414007431"/>
      <w:bookmarkStart w:id="39" w:name="_Toc414007580"/>
      <w:r w:rsidRPr="00D3781E">
        <w:rPr>
          <w:rFonts w:ascii="Times New Roman" w:hAnsi="Times New Roman"/>
          <w:bCs w:val="0"/>
        </w:rPr>
        <w:t xml:space="preserve">E. </w:t>
      </w:r>
      <w:r w:rsidR="00402FBE" w:rsidRPr="00D3781E">
        <w:rPr>
          <w:rFonts w:ascii="Times New Roman" w:hAnsi="Times New Roman"/>
          <w:bCs w:val="0"/>
        </w:rPr>
        <w:t>The M</w:t>
      </w:r>
      <w:r w:rsidR="00402FBE" w:rsidRPr="00D3781E">
        <w:rPr>
          <w:rFonts w:ascii="Times New Roman" w:hAnsi="Times New Roman"/>
        </w:rPr>
        <w:t>ontana CCI Code Edits Listing</w:t>
      </w:r>
      <w:bookmarkEnd w:id="37"/>
      <w:bookmarkEnd w:id="38"/>
      <w:bookmarkEnd w:id="39"/>
    </w:p>
    <w:p w14:paraId="71DFDB43" w14:textId="77777777" w:rsidR="00402FBE" w:rsidRPr="00D3781E" w:rsidRDefault="00402FBE" w:rsidP="00E71EFD">
      <w:pPr>
        <w:ind w:left="360"/>
      </w:pPr>
      <w:r w:rsidRPr="00D3781E">
        <w:t>CMS codes that assist in correct coding and billing procedures. If a code descriptor of a HCPCS/CPT code includes the phrase “separate procedure,” the procedure is subject to CCI edits.</w:t>
      </w:r>
    </w:p>
    <w:p w14:paraId="33EB8D1B" w14:textId="77777777" w:rsidR="00E71EFD" w:rsidRPr="00D3781E" w:rsidRDefault="00E71EFD" w:rsidP="00E71EFD">
      <w:pPr>
        <w:ind w:left="360"/>
      </w:pPr>
    </w:p>
    <w:p w14:paraId="6E9110B5" w14:textId="77777777" w:rsidR="00402FBE" w:rsidRPr="00D3781E" w:rsidRDefault="00402FBE" w:rsidP="00E71EFD">
      <w:pPr>
        <w:ind w:left="360"/>
        <w:rPr>
          <w:b/>
        </w:rPr>
      </w:pPr>
      <w:r w:rsidRPr="00D3781E">
        <w:rPr>
          <w:b/>
          <w:u w:val="single"/>
        </w:rPr>
        <w:t>Column 1</w:t>
      </w:r>
    </w:p>
    <w:p w14:paraId="4E3AF008" w14:textId="77777777" w:rsidR="00402FBE" w:rsidRPr="00D3781E" w:rsidRDefault="00402FBE" w:rsidP="00E71EFD">
      <w:pPr>
        <w:ind w:left="360"/>
      </w:pPr>
      <w:r w:rsidRPr="00D3781E">
        <w:t>CPT code</w:t>
      </w:r>
    </w:p>
    <w:p w14:paraId="46173B8C" w14:textId="77777777" w:rsidR="00402FBE" w:rsidRPr="00D3781E" w:rsidRDefault="00402FBE" w:rsidP="00E71EFD">
      <w:pPr>
        <w:ind w:left="360"/>
      </w:pPr>
    </w:p>
    <w:p w14:paraId="04543F22" w14:textId="77777777" w:rsidR="00402FBE" w:rsidRPr="00D3781E" w:rsidRDefault="00402FBE" w:rsidP="00E71EFD">
      <w:pPr>
        <w:ind w:left="360"/>
        <w:rPr>
          <w:b/>
        </w:rPr>
      </w:pPr>
      <w:r w:rsidRPr="00D3781E">
        <w:rPr>
          <w:b/>
          <w:u w:val="single"/>
        </w:rPr>
        <w:t>Column 2</w:t>
      </w:r>
    </w:p>
    <w:p w14:paraId="2F06A397" w14:textId="77777777" w:rsidR="00402FBE" w:rsidRPr="00D3781E" w:rsidRDefault="00402FBE" w:rsidP="00E71EFD">
      <w:pPr>
        <w:ind w:left="360"/>
      </w:pPr>
      <w:r w:rsidRPr="00D3781E">
        <w:t>CPT code</w:t>
      </w:r>
    </w:p>
    <w:p w14:paraId="2CBEA016" w14:textId="77777777" w:rsidR="00402FBE" w:rsidRPr="00D3781E" w:rsidRDefault="00402FBE" w:rsidP="00E71EFD">
      <w:pPr>
        <w:ind w:left="360"/>
      </w:pPr>
    </w:p>
    <w:p w14:paraId="281049BB" w14:textId="77777777" w:rsidR="00402FBE" w:rsidRPr="00D3781E" w:rsidRDefault="00402FBE" w:rsidP="00E71EFD">
      <w:pPr>
        <w:ind w:left="360"/>
        <w:rPr>
          <w:b/>
          <w:u w:val="single"/>
        </w:rPr>
      </w:pPr>
      <w:r w:rsidRPr="00D3781E">
        <w:rPr>
          <w:b/>
          <w:u w:val="single"/>
        </w:rPr>
        <w:t>Column 3</w:t>
      </w:r>
    </w:p>
    <w:p w14:paraId="13E94754" w14:textId="77777777" w:rsidR="00402FBE" w:rsidRPr="00D3781E" w:rsidRDefault="00402FBE" w:rsidP="00E71EFD">
      <w:pPr>
        <w:ind w:left="360"/>
      </w:pPr>
      <w:r w:rsidRPr="00D3781E">
        <w:t>Effective date of Column 1/Column 2 CPT code combination</w:t>
      </w:r>
    </w:p>
    <w:p w14:paraId="7762246C" w14:textId="77777777" w:rsidR="00402FBE" w:rsidRPr="00D3781E" w:rsidRDefault="00402FBE" w:rsidP="00E71EFD">
      <w:pPr>
        <w:ind w:left="360"/>
      </w:pPr>
    </w:p>
    <w:p w14:paraId="0B1C4B4F" w14:textId="77777777" w:rsidR="00402FBE" w:rsidRPr="00D3781E" w:rsidRDefault="00402FBE" w:rsidP="00E71EFD">
      <w:pPr>
        <w:ind w:left="360"/>
        <w:rPr>
          <w:b/>
        </w:rPr>
      </w:pPr>
      <w:r w:rsidRPr="00D3781E">
        <w:rPr>
          <w:b/>
          <w:u w:val="single"/>
        </w:rPr>
        <w:t>Column 4</w:t>
      </w:r>
    </w:p>
    <w:p w14:paraId="5781C3C7" w14:textId="77777777" w:rsidR="00402FBE" w:rsidRPr="00D3781E" w:rsidRDefault="00402FBE" w:rsidP="00E71EFD">
      <w:pPr>
        <w:ind w:left="360"/>
      </w:pPr>
      <w:r w:rsidRPr="00D3781E">
        <w:t>Termination date of Column 1/Column 2 CPT code combination. An asterisk indicates no termination date.</w:t>
      </w:r>
    </w:p>
    <w:p w14:paraId="28409E55" w14:textId="77777777" w:rsidR="00402FBE" w:rsidRPr="00D3781E" w:rsidRDefault="00402FBE" w:rsidP="00E71EFD">
      <w:pPr>
        <w:ind w:left="360"/>
      </w:pPr>
    </w:p>
    <w:p w14:paraId="5206F214" w14:textId="77777777" w:rsidR="00402FBE" w:rsidRPr="00D3781E" w:rsidRDefault="00402FBE" w:rsidP="00E71EFD">
      <w:pPr>
        <w:ind w:left="360"/>
        <w:rPr>
          <w:b/>
        </w:rPr>
      </w:pPr>
      <w:r w:rsidRPr="00D3781E">
        <w:rPr>
          <w:b/>
          <w:u w:val="single"/>
        </w:rPr>
        <w:t>Column 5</w:t>
      </w:r>
    </w:p>
    <w:p w14:paraId="6F81C2E1" w14:textId="77777777" w:rsidR="00402FBE" w:rsidRPr="00D3781E" w:rsidRDefault="00402FBE" w:rsidP="00E71EFD">
      <w:pPr>
        <w:ind w:left="360"/>
      </w:pPr>
      <w:r w:rsidRPr="00D3781E">
        <w:t>A code indicating the applicability:  0= not allowed; 1=allowed; 9=not applicable.</w:t>
      </w:r>
    </w:p>
    <w:p w14:paraId="601E14DE" w14:textId="77777777" w:rsidR="00402FBE" w:rsidRPr="00D3781E" w:rsidRDefault="00BD18FC" w:rsidP="00BD18FC">
      <w:pPr>
        <w:pStyle w:val="Heading3"/>
        <w:rPr>
          <w:rFonts w:ascii="Times New Roman" w:hAnsi="Times New Roman"/>
          <w:bCs w:val="0"/>
        </w:rPr>
      </w:pPr>
      <w:bookmarkStart w:id="40" w:name="_Toc414007268"/>
      <w:bookmarkStart w:id="41" w:name="_Toc414007432"/>
      <w:bookmarkStart w:id="42" w:name="_Toc414007581"/>
      <w:r w:rsidRPr="00D3781E">
        <w:rPr>
          <w:rFonts w:ascii="Times New Roman" w:hAnsi="Times New Roman"/>
          <w:bCs w:val="0"/>
        </w:rPr>
        <w:t xml:space="preserve">F. </w:t>
      </w:r>
      <w:r w:rsidR="00402FBE" w:rsidRPr="00D3781E">
        <w:rPr>
          <w:rFonts w:ascii="Times New Roman" w:hAnsi="Times New Roman"/>
          <w:bCs w:val="0"/>
        </w:rPr>
        <w:t>Medically Unlikely Edits (MUEs)</w:t>
      </w:r>
      <w:bookmarkEnd w:id="40"/>
      <w:bookmarkEnd w:id="41"/>
      <w:bookmarkEnd w:id="42"/>
    </w:p>
    <w:p w14:paraId="7D136E79" w14:textId="429D0DB3" w:rsidR="00402FBE" w:rsidRDefault="00402FBE" w:rsidP="00402FBE">
      <w:pPr>
        <w:ind w:left="360"/>
      </w:pPr>
      <w:r w:rsidRPr="00D3781E">
        <w:t>CMS codes that assist in correct coding and billing procedures. This lists the total number of units that are possible for each visit.</w:t>
      </w:r>
    </w:p>
    <w:p w14:paraId="1E23657E" w14:textId="77777777" w:rsidR="00490B2C" w:rsidRPr="00D3781E" w:rsidRDefault="00490B2C" w:rsidP="00402FBE">
      <w:pPr>
        <w:ind w:left="360"/>
      </w:pPr>
    </w:p>
    <w:p w14:paraId="6D821263" w14:textId="77777777" w:rsidR="00402FBE" w:rsidRPr="00D3781E" w:rsidRDefault="00402FBE" w:rsidP="00402FBE">
      <w:pPr>
        <w:ind w:left="360"/>
      </w:pPr>
    </w:p>
    <w:p w14:paraId="320858AD" w14:textId="77777777" w:rsidR="004D6207" w:rsidRPr="00D3781E" w:rsidRDefault="00BD18FC" w:rsidP="00BD18FC">
      <w:pPr>
        <w:rPr>
          <w:rFonts w:eastAsia="Times New Roman"/>
          <w:b/>
          <w:sz w:val="26"/>
          <w:szCs w:val="26"/>
        </w:rPr>
      </w:pPr>
      <w:r w:rsidRPr="00D3781E">
        <w:rPr>
          <w:rFonts w:eastAsia="Times New Roman"/>
          <w:b/>
          <w:sz w:val="26"/>
          <w:szCs w:val="26"/>
        </w:rPr>
        <w:t xml:space="preserve">G. </w:t>
      </w:r>
      <w:r w:rsidR="004D6207" w:rsidRPr="00D3781E">
        <w:rPr>
          <w:rFonts w:eastAsia="Times New Roman"/>
          <w:b/>
          <w:sz w:val="26"/>
          <w:szCs w:val="26"/>
        </w:rPr>
        <w:t xml:space="preserve">The Montana </w:t>
      </w:r>
      <w:r w:rsidR="0050541C" w:rsidRPr="00D3781E">
        <w:rPr>
          <w:rFonts w:eastAsia="Times New Roman"/>
          <w:b/>
          <w:sz w:val="26"/>
          <w:szCs w:val="26"/>
        </w:rPr>
        <w:t>CCR</w:t>
      </w:r>
      <w:r w:rsidR="004D6207" w:rsidRPr="00D3781E">
        <w:rPr>
          <w:rFonts w:eastAsia="Times New Roman"/>
          <w:b/>
          <w:sz w:val="26"/>
          <w:szCs w:val="26"/>
        </w:rPr>
        <w:t xml:space="preserve"> and other Montana </w:t>
      </w:r>
      <w:r w:rsidR="0050541C" w:rsidRPr="00D3781E">
        <w:rPr>
          <w:rFonts w:eastAsia="Times New Roman"/>
          <w:b/>
          <w:sz w:val="26"/>
          <w:szCs w:val="26"/>
        </w:rPr>
        <w:t>CCR</w:t>
      </w:r>
      <w:r w:rsidR="004D6207" w:rsidRPr="00D3781E">
        <w:rPr>
          <w:rFonts w:eastAsia="Times New Roman"/>
          <w:b/>
          <w:sz w:val="26"/>
          <w:szCs w:val="26"/>
        </w:rPr>
        <w:t>-based Calculations</w:t>
      </w:r>
    </w:p>
    <w:p w14:paraId="053EB04E" w14:textId="77777777" w:rsidR="004D6207" w:rsidRPr="00D3781E" w:rsidRDefault="004D6207" w:rsidP="00230774">
      <w:pPr>
        <w:ind w:left="360"/>
      </w:pPr>
      <w:r w:rsidRPr="00D3781E">
        <w:t>A list of the cost to charge ratios (</w:t>
      </w:r>
      <w:r w:rsidR="0050541C" w:rsidRPr="00D3781E">
        <w:t>CCR</w:t>
      </w:r>
      <w:r w:rsidRPr="00D3781E">
        <w:t>)</w:t>
      </w:r>
      <w:r w:rsidR="008B1D2B" w:rsidRPr="00D3781E">
        <w:t>, formerly Ratio of Cost to Charge</w:t>
      </w:r>
      <w:r w:rsidR="005C1F24" w:rsidRPr="00D3781E">
        <w:t xml:space="preserve"> </w:t>
      </w:r>
      <w:r w:rsidR="008B1D2B" w:rsidRPr="00D3781E">
        <w:t>(RCC),</w:t>
      </w:r>
      <w:r w:rsidRPr="00D3781E">
        <w:t xml:space="preserve"> for the regulated hospitals in Montana as determined by CMS.</w:t>
      </w:r>
      <w:r w:rsidR="008B1D2B" w:rsidRPr="00D3781E">
        <w:t xml:space="preserve">  </w:t>
      </w:r>
    </w:p>
    <w:p w14:paraId="50FE5070" w14:textId="77777777" w:rsidR="004D6207" w:rsidRPr="00D3781E" w:rsidRDefault="00BD18FC" w:rsidP="00BD18FC">
      <w:pPr>
        <w:pStyle w:val="Heading3"/>
        <w:rPr>
          <w:rFonts w:ascii="Times New Roman" w:hAnsi="Times New Roman"/>
        </w:rPr>
      </w:pPr>
      <w:bookmarkStart w:id="43" w:name="_Toc414007269"/>
      <w:bookmarkStart w:id="44" w:name="_Toc414007433"/>
      <w:bookmarkStart w:id="45" w:name="_Toc414007582"/>
      <w:r w:rsidRPr="00D3781E">
        <w:rPr>
          <w:rFonts w:ascii="Times New Roman" w:hAnsi="Times New Roman"/>
        </w:rPr>
        <w:t xml:space="preserve">H. </w:t>
      </w:r>
      <w:r w:rsidR="004D6207" w:rsidRPr="00D3781E">
        <w:rPr>
          <w:rFonts w:ascii="Times New Roman" w:hAnsi="Times New Roman"/>
        </w:rPr>
        <w:t>The Montana Status Indicator Codes</w:t>
      </w:r>
      <w:bookmarkEnd w:id="43"/>
      <w:bookmarkEnd w:id="44"/>
      <w:bookmarkEnd w:id="45"/>
    </w:p>
    <w:p w14:paraId="4760CA0E" w14:textId="77777777" w:rsidR="004D6207" w:rsidRPr="00D3781E" w:rsidRDefault="004D6207" w:rsidP="00230774">
      <w:pPr>
        <w:ind w:left="360"/>
      </w:pPr>
      <w:r w:rsidRPr="00D3781E">
        <w:t>A list of the status indicator codes that apply to the Montana WC Facility Fee Schedule</w:t>
      </w:r>
    </w:p>
    <w:p w14:paraId="67344E1B" w14:textId="77777777" w:rsidR="00BD18FC" w:rsidRPr="00D3781E" w:rsidRDefault="00BD18FC" w:rsidP="00230774">
      <w:pPr>
        <w:ind w:left="360"/>
      </w:pPr>
    </w:p>
    <w:p w14:paraId="5CA54589" w14:textId="77777777" w:rsidR="00BD18FC" w:rsidRPr="00D3781E" w:rsidRDefault="00BD18FC" w:rsidP="00BD18FC">
      <w:pPr>
        <w:rPr>
          <w:b/>
        </w:rPr>
      </w:pPr>
      <w:r w:rsidRPr="00D3781E">
        <w:rPr>
          <w:b/>
        </w:rPr>
        <w:t>H.1 Montana Addendum B</w:t>
      </w:r>
    </w:p>
    <w:p w14:paraId="4B698FE8" w14:textId="6118506E" w:rsidR="00D565F0" w:rsidRPr="00D3781E" w:rsidRDefault="00BD18FC" w:rsidP="009D5243">
      <w:pPr>
        <w:ind w:left="-90" w:firstLine="90"/>
      </w:pPr>
      <w:r w:rsidRPr="00D3781E">
        <w:rPr>
          <w:b/>
        </w:rPr>
        <w:t xml:space="preserve">     </w:t>
      </w:r>
      <w:r w:rsidRPr="00D3781E">
        <w:t xml:space="preserve">These tables </w:t>
      </w:r>
      <w:r w:rsidR="002A14EF" w:rsidRPr="00D3781E">
        <w:t>determine</w:t>
      </w:r>
      <w:r w:rsidRPr="00D3781E">
        <w:t xml:space="preserve"> complexity reimbursement, if necessary, for two or more J1 status indicators.  </w:t>
      </w:r>
      <w:r w:rsidR="009D5243">
        <w:t xml:space="preserve">    </w:t>
      </w:r>
      <w:r w:rsidRPr="00D3781E">
        <w:t>Table</w:t>
      </w:r>
      <w:r w:rsidR="00D92F67" w:rsidRPr="00D3781E">
        <w:t xml:space="preserve"> </w:t>
      </w:r>
      <w:r w:rsidRPr="00D3781E">
        <w:t>one is the ranking table and table two is the complexity reimbursement.</w:t>
      </w:r>
      <w:r w:rsidR="00D565F0" w:rsidRPr="00D3781E">
        <w:t xml:space="preserve"> </w:t>
      </w:r>
    </w:p>
    <w:p w14:paraId="2BC289C7" w14:textId="77777777" w:rsidR="00D565F0" w:rsidRPr="00D3781E" w:rsidRDefault="00D565F0" w:rsidP="00D565F0"/>
    <w:p w14:paraId="612C709B" w14:textId="77777777" w:rsidR="00D565F0" w:rsidRPr="00D3781E" w:rsidRDefault="00D565F0" w:rsidP="00D565F0">
      <w:pPr>
        <w:rPr>
          <w:b/>
          <w:sz w:val="26"/>
          <w:szCs w:val="26"/>
        </w:rPr>
      </w:pPr>
      <w:r w:rsidRPr="00D3781E">
        <w:rPr>
          <w:b/>
          <w:sz w:val="22"/>
          <w:szCs w:val="22"/>
        </w:rPr>
        <w:t xml:space="preserve">I. </w:t>
      </w:r>
      <w:r w:rsidRPr="00D3781E">
        <w:rPr>
          <w:b/>
          <w:sz w:val="26"/>
          <w:szCs w:val="26"/>
        </w:rPr>
        <w:t>Place of Service Codes</w:t>
      </w:r>
    </w:p>
    <w:p w14:paraId="00E8D7EF" w14:textId="77777777" w:rsidR="00D565F0" w:rsidRPr="00D3781E" w:rsidRDefault="00D565F0" w:rsidP="00D565F0">
      <w:r w:rsidRPr="00D3781E">
        <w:rPr>
          <w:b/>
          <w:sz w:val="26"/>
          <w:szCs w:val="26"/>
        </w:rPr>
        <w:t xml:space="preserve">      </w:t>
      </w:r>
      <w:r w:rsidRPr="00D3781E">
        <w:t>CMS codes indicating where the service was provided.</w:t>
      </w:r>
    </w:p>
    <w:p w14:paraId="7FB09555" w14:textId="77777777" w:rsidR="00D565F0" w:rsidRPr="00D3781E" w:rsidRDefault="00D565F0" w:rsidP="00D565F0">
      <w:pPr>
        <w:rPr>
          <w:b/>
        </w:rPr>
      </w:pPr>
    </w:p>
    <w:p w14:paraId="345DCFD9" w14:textId="77777777" w:rsidR="00D565F0" w:rsidRPr="00D3781E" w:rsidRDefault="00D565F0" w:rsidP="00D565F0">
      <w:pPr>
        <w:rPr>
          <w:b/>
          <w:sz w:val="26"/>
          <w:szCs w:val="26"/>
        </w:rPr>
      </w:pPr>
      <w:r w:rsidRPr="00D3781E">
        <w:rPr>
          <w:b/>
          <w:sz w:val="26"/>
          <w:szCs w:val="26"/>
        </w:rPr>
        <w:t>J. Modifiers</w:t>
      </w:r>
    </w:p>
    <w:p w14:paraId="0DFB817D" w14:textId="77777777" w:rsidR="00D565F0" w:rsidRPr="00D3781E" w:rsidRDefault="00D565F0" w:rsidP="00D565F0">
      <w:pPr>
        <w:rPr>
          <w:sz w:val="22"/>
          <w:szCs w:val="22"/>
        </w:rPr>
      </w:pPr>
      <w:r w:rsidRPr="00D3781E">
        <w:rPr>
          <w:b/>
          <w:sz w:val="26"/>
          <w:szCs w:val="26"/>
        </w:rPr>
        <w:t xml:space="preserve">       </w:t>
      </w:r>
      <w:r w:rsidRPr="00D3781E">
        <w:t>CMS codes indicating where the service was provided</w:t>
      </w:r>
      <w:r w:rsidRPr="00D3781E">
        <w:rPr>
          <w:sz w:val="22"/>
          <w:szCs w:val="22"/>
        </w:rPr>
        <w:t>.</w:t>
      </w:r>
    </w:p>
    <w:p w14:paraId="04A36118" w14:textId="77777777" w:rsidR="00D565F0" w:rsidRPr="00D3781E" w:rsidRDefault="00D565F0" w:rsidP="00D565F0">
      <w:pPr>
        <w:rPr>
          <w:sz w:val="22"/>
          <w:szCs w:val="22"/>
        </w:rPr>
      </w:pPr>
    </w:p>
    <w:p w14:paraId="0AD0908B" w14:textId="77777777" w:rsidR="00D565F0" w:rsidRPr="00D3781E" w:rsidRDefault="00D92F67" w:rsidP="00D565F0">
      <w:pPr>
        <w:rPr>
          <w:b/>
          <w:sz w:val="26"/>
          <w:szCs w:val="26"/>
        </w:rPr>
      </w:pPr>
      <w:r w:rsidRPr="00D3781E">
        <w:rPr>
          <w:b/>
          <w:sz w:val="26"/>
          <w:szCs w:val="26"/>
        </w:rPr>
        <w:t xml:space="preserve">K. Facility Fee Schedule Instruction Set </w:t>
      </w:r>
    </w:p>
    <w:p w14:paraId="6BB590AA" w14:textId="77777777" w:rsidR="006E07EC" w:rsidRDefault="00D92F67" w:rsidP="006E07EC">
      <w:pPr>
        <w:rPr>
          <w:sz w:val="26"/>
          <w:szCs w:val="26"/>
        </w:rPr>
      </w:pPr>
      <w:r w:rsidRPr="00D3781E">
        <w:rPr>
          <w:b/>
          <w:sz w:val="26"/>
          <w:szCs w:val="26"/>
        </w:rPr>
        <w:t xml:space="preserve">       </w:t>
      </w:r>
      <w:r w:rsidRPr="00D3781E">
        <w:t>Billing and Reimbursement Instructions for payers and providers.</w:t>
      </w:r>
      <w:bookmarkStart w:id="46" w:name="_Toc507409474"/>
    </w:p>
    <w:p w14:paraId="3792FBA2" w14:textId="77777777" w:rsidR="006E07EC" w:rsidRDefault="006E07EC" w:rsidP="006E07EC">
      <w:pPr>
        <w:rPr>
          <w:sz w:val="26"/>
          <w:szCs w:val="26"/>
        </w:rPr>
      </w:pPr>
    </w:p>
    <w:p w14:paraId="561CB86A" w14:textId="2F7BB31C" w:rsidR="00D10EE7" w:rsidRPr="006E07EC" w:rsidRDefault="00D10EE7" w:rsidP="006E07EC">
      <w:pPr>
        <w:rPr>
          <w:b/>
        </w:rPr>
      </w:pPr>
      <w:r w:rsidRPr="006E07EC">
        <w:rPr>
          <w:b/>
          <w:sz w:val="26"/>
          <w:szCs w:val="26"/>
        </w:rPr>
        <w:t>L. Guidance</w:t>
      </w:r>
      <w:bookmarkEnd w:id="46"/>
      <w:r w:rsidRPr="006E07EC">
        <w:rPr>
          <w:b/>
          <w:sz w:val="26"/>
          <w:szCs w:val="26"/>
        </w:rPr>
        <w:t xml:space="preserve"> </w:t>
      </w:r>
    </w:p>
    <w:p w14:paraId="26DBAD86" w14:textId="77777777" w:rsidR="00D10EE7" w:rsidRPr="00D3781E" w:rsidRDefault="00D10EE7" w:rsidP="00D10EE7">
      <w:r w:rsidRPr="00D3781E">
        <w:t xml:space="preserve">      Guidance for payers and providers regarding some payments that need to be addressed due to </w:t>
      </w:r>
    </w:p>
    <w:p w14:paraId="549CC08D" w14:textId="77777777" w:rsidR="00D10EE7" w:rsidRPr="00D3781E" w:rsidRDefault="00D10EE7" w:rsidP="00D10EE7">
      <w:r w:rsidRPr="00D3781E">
        <w:t xml:space="preserve">      changes in CMMS codes that are paid by worker’s compensation.</w:t>
      </w:r>
    </w:p>
    <w:p w14:paraId="1C93B705" w14:textId="4D0C4674" w:rsidR="00230774" w:rsidRDefault="00000000" w:rsidP="00D945DF">
      <w:pPr>
        <w:pStyle w:val="Heading2"/>
        <w:rPr>
          <w:rFonts w:eastAsia="Calibri"/>
          <w:lang w:val="en-GB"/>
        </w:rPr>
      </w:pPr>
      <w:hyperlink r:id="rId11" w:tooltip="Facility Fee Schedule Archives" w:history="1">
        <w:bookmarkStart w:id="47" w:name="_Toc353172288"/>
        <w:bookmarkStart w:id="48" w:name="_Toc414007272"/>
        <w:bookmarkStart w:id="49" w:name="_Toc414007436"/>
        <w:bookmarkStart w:id="50" w:name="_Toc414007585"/>
        <w:bookmarkStart w:id="51" w:name="_Toc507409475"/>
        <w:bookmarkStart w:id="52" w:name="_Toc34916589"/>
        <w:r w:rsidR="004D7F30" w:rsidRPr="004D7F30">
          <w:rPr>
            <w:rFonts w:eastAsia="Calibri"/>
            <w:lang w:val="en-GB"/>
          </w:rPr>
          <w:t>Facility</w:t>
        </w:r>
      </w:hyperlink>
      <w:r w:rsidR="004D7F30" w:rsidRPr="004D7F30">
        <w:rPr>
          <w:rFonts w:eastAsia="Calibri"/>
          <w:lang w:val="en-GB"/>
        </w:rPr>
        <w:t xml:space="preserve"> Fee Schedule Archives</w:t>
      </w:r>
      <w:bookmarkEnd w:id="47"/>
      <w:bookmarkEnd w:id="48"/>
      <w:bookmarkEnd w:id="49"/>
      <w:bookmarkEnd w:id="50"/>
      <w:bookmarkEnd w:id="51"/>
      <w:bookmarkEnd w:id="52"/>
    </w:p>
    <w:p w14:paraId="69E0ED77" w14:textId="24469B7A" w:rsidR="00947386" w:rsidRDefault="00947386" w:rsidP="00947386">
      <w:pPr>
        <w:spacing w:before="240" w:after="240"/>
      </w:pPr>
      <w:r w:rsidRPr="00947386">
        <w:t xml:space="preserve">Past facility fee schedules and instruction sets are posted on the </w:t>
      </w:r>
      <w:r w:rsidR="00E34A7E">
        <w:t>ESD</w:t>
      </w:r>
      <w:r w:rsidR="00E34A7E" w:rsidRPr="00947386">
        <w:t xml:space="preserve"> </w:t>
      </w:r>
      <w:r w:rsidRPr="00947386">
        <w:t>website.</w:t>
      </w:r>
    </w:p>
    <w:p w14:paraId="6D4A1055" w14:textId="77777777" w:rsidR="009D02AB" w:rsidRPr="009D02AB" w:rsidRDefault="009D02AB" w:rsidP="009D02AB">
      <w:pPr>
        <w:autoSpaceDE w:val="0"/>
        <w:autoSpaceDN w:val="0"/>
        <w:adjustRightInd w:val="0"/>
        <w:rPr>
          <w:rFonts w:ascii="Cambria" w:hAnsi="Cambria" w:cs="Cambria"/>
          <w:color w:val="000000"/>
          <w:sz w:val="28"/>
          <w:szCs w:val="28"/>
        </w:rPr>
      </w:pPr>
      <w:r w:rsidRPr="009D02AB">
        <w:rPr>
          <w:rFonts w:ascii="Cambria" w:hAnsi="Cambria" w:cs="Cambria"/>
          <w:b/>
          <w:bCs/>
          <w:i/>
          <w:iCs/>
          <w:color w:val="000000"/>
          <w:sz w:val="28"/>
          <w:szCs w:val="28"/>
        </w:rPr>
        <w:t xml:space="preserve">Clarifications </w:t>
      </w:r>
    </w:p>
    <w:p w14:paraId="0F287FA9" w14:textId="3BE34785" w:rsidR="009D02AB" w:rsidRDefault="009D02AB" w:rsidP="009D02AB">
      <w:pPr>
        <w:spacing w:before="240" w:after="240"/>
      </w:pPr>
      <w:r w:rsidRPr="009D02AB">
        <w:rPr>
          <w:color w:val="000000"/>
          <w:sz w:val="23"/>
          <w:szCs w:val="23"/>
        </w:rPr>
        <w:t>Department clarifications regarding the facility fee schedule and the professional fee schedule</w:t>
      </w:r>
      <w:r w:rsidR="00EA72F3">
        <w:rPr>
          <w:color w:val="000000"/>
          <w:sz w:val="23"/>
          <w:szCs w:val="23"/>
        </w:rPr>
        <w:t xml:space="preserve"> are</w:t>
      </w:r>
      <w:r w:rsidRPr="009D02AB">
        <w:rPr>
          <w:color w:val="000000"/>
          <w:sz w:val="23"/>
          <w:szCs w:val="23"/>
        </w:rPr>
        <w:t xml:space="preserve"> currently </w:t>
      </w:r>
      <w:r w:rsidR="00EA72F3">
        <w:rPr>
          <w:color w:val="000000"/>
          <w:sz w:val="23"/>
          <w:szCs w:val="23"/>
        </w:rPr>
        <w:t>on the facility fee schedule page.</w:t>
      </w:r>
    </w:p>
    <w:p w14:paraId="7502E656" w14:textId="5419559D" w:rsidR="00E73700" w:rsidRPr="00574D12" w:rsidRDefault="00E73700" w:rsidP="004D7F30">
      <w:pPr>
        <w:pStyle w:val="Heading1"/>
      </w:pPr>
      <w:bookmarkStart w:id="53" w:name="_Toc353172289"/>
      <w:bookmarkStart w:id="54" w:name="_Toc414007274"/>
      <w:bookmarkStart w:id="55" w:name="_Toc414007438"/>
      <w:bookmarkStart w:id="56" w:name="_Toc414007587"/>
      <w:bookmarkStart w:id="57" w:name="_Toc34916590"/>
      <w:r>
        <w:t xml:space="preserve">Section Two: </w:t>
      </w:r>
      <w:r w:rsidR="00E71EFD">
        <w:t xml:space="preserve"> </w:t>
      </w:r>
      <w:r>
        <w:t>G</w:t>
      </w:r>
      <w:r w:rsidRPr="00574D12">
        <w:t xml:space="preserve">eneral </w:t>
      </w:r>
      <w:r w:rsidR="00230774">
        <w:t>Instructions</w:t>
      </w:r>
      <w:bookmarkEnd w:id="53"/>
      <w:bookmarkEnd w:id="54"/>
      <w:bookmarkEnd w:id="55"/>
      <w:bookmarkEnd w:id="56"/>
      <w:bookmarkEnd w:id="57"/>
    </w:p>
    <w:p w14:paraId="0B4B77F8" w14:textId="77777777" w:rsidR="008B620F" w:rsidRPr="004D7F30" w:rsidRDefault="008B620F" w:rsidP="008B620F">
      <w:pPr>
        <w:pStyle w:val="Heading2"/>
      </w:pPr>
      <w:bookmarkStart w:id="58" w:name="_Toc353172295"/>
      <w:bookmarkStart w:id="59" w:name="_Toc414007275"/>
      <w:bookmarkStart w:id="60" w:name="_Toc414007439"/>
      <w:bookmarkStart w:id="61" w:name="_Toc414007588"/>
      <w:bookmarkStart w:id="62" w:name="_Toc34916591"/>
      <w:bookmarkStart w:id="63" w:name="_Toc353172290"/>
      <w:r w:rsidRPr="004D7F30">
        <w:t>Ambulance Services</w:t>
      </w:r>
      <w:bookmarkEnd w:id="58"/>
      <w:bookmarkEnd w:id="59"/>
      <w:bookmarkEnd w:id="60"/>
      <w:bookmarkEnd w:id="61"/>
      <w:bookmarkEnd w:id="62"/>
    </w:p>
    <w:p w14:paraId="694608FB" w14:textId="77777777" w:rsidR="008B620F" w:rsidRDefault="008B620F" w:rsidP="008B620F">
      <w:r w:rsidRPr="003E2FCE">
        <w:t xml:space="preserve">The Montana Ambulance Fee Schedule can be found within the Montana Facility Fee Schedule.  “Urban areas” in Montana are defined as Billings, Great Falls, and Missoula.  </w:t>
      </w:r>
    </w:p>
    <w:p w14:paraId="3ED3859C" w14:textId="77777777" w:rsidR="00544F30" w:rsidRDefault="00544F30" w:rsidP="008B620F"/>
    <w:p w14:paraId="53B9983F" w14:textId="77777777" w:rsidR="00544F30" w:rsidRPr="003E2FCE" w:rsidRDefault="00544F30" w:rsidP="008B620F">
      <w:r>
        <w:t>The point of pickup determines whether rural mileage is applied to the ambulance transport services.</w:t>
      </w:r>
    </w:p>
    <w:p w14:paraId="12129C48" w14:textId="77777777" w:rsidR="008B620F" w:rsidRPr="003E2FCE" w:rsidRDefault="008B620F" w:rsidP="008B620F"/>
    <w:p w14:paraId="6F021F24" w14:textId="630ED6D0" w:rsidR="003310C2" w:rsidRDefault="008B620F" w:rsidP="00561BA4">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preempted by federal law 49 USC 41713(b).   Air ambulances that are regulate</w:t>
      </w:r>
      <w:r>
        <w:t>d</w:t>
      </w:r>
      <w:r w:rsidRPr="003E2FCE">
        <w:t xml:space="preserve"> by f</w:t>
      </w:r>
      <w:r>
        <w:t>ederal law will be paid at the usual and c</w:t>
      </w:r>
      <w:r w:rsidRPr="003E2FCE">
        <w:t xml:space="preserve">ustomary charge for the carrier. </w:t>
      </w:r>
    </w:p>
    <w:p w14:paraId="4B53C9EB" w14:textId="404CC641" w:rsidR="00311F3F" w:rsidRDefault="00311F3F" w:rsidP="00561BA4"/>
    <w:p w14:paraId="22CDF1E8" w14:textId="6C3D9499" w:rsidR="00DB76D5" w:rsidRDefault="00DB76D5" w:rsidP="00561BA4">
      <w:pPr>
        <w:rPr>
          <w:rFonts w:asciiTheme="majorHAnsi" w:hAnsiTheme="majorHAnsi"/>
          <w:b/>
          <w:i/>
          <w:sz w:val="28"/>
          <w:szCs w:val="28"/>
        </w:rPr>
      </w:pPr>
      <w:r w:rsidRPr="00DB76D5">
        <w:rPr>
          <w:rFonts w:asciiTheme="majorHAnsi" w:hAnsiTheme="majorHAnsi"/>
          <w:b/>
          <w:i/>
          <w:sz w:val="28"/>
          <w:szCs w:val="28"/>
        </w:rPr>
        <w:t>Ground Mileage Examples</w:t>
      </w:r>
    </w:p>
    <w:p w14:paraId="51C60E32" w14:textId="77777777" w:rsidR="00DB76D5" w:rsidRPr="00DB76D5" w:rsidRDefault="00DB76D5" w:rsidP="00561BA4">
      <w:r w:rsidRPr="00DB76D5">
        <w:rPr>
          <w:u w:val="single"/>
        </w:rPr>
        <w:t>Ground Mileage Examples</w:t>
      </w:r>
      <w:r w:rsidRPr="00DB76D5">
        <w:t xml:space="preserve"> (A0425):</w:t>
      </w:r>
    </w:p>
    <w:p w14:paraId="361B87DB" w14:textId="77777777" w:rsidR="00DB76D5" w:rsidRPr="00DB76D5" w:rsidRDefault="00DB76D5" w:rsidP="00561BA4"/>
    <w:p w14:paraId="5937A16B" w14:textId="36735CB4" w:rsidR="00DB76D5" w:rsidRPr="00D466F5" w:rsidRDefault="00DB76D5" w:rsidP="00561BA4">
      <w:r w:rsidRPr="00D466F5">
        <w:t>Rural:  Injured worker is transported 53 miles from a rural area to a facility:  17 miles x $</w:t>
      </w:r>
      <w:r w:rsidR="00F73041">
        <w:t>13.</w:t>
      </w:r>
      <w:r w:rsidR="00565B25">
        <w:t xml:space="preserve">53 </w:t>
      </w:r>
      <w:r w:rsidR="00565B25" w:rsidRPr="00D466F5">
        <w:t>=</w:t>
      </w:r>
      <w:r w:rsidRPr="00D466F5">
        <w:t xml:space="preserve"> $</w:t>
      </w:r>
      <w:r w:rsidR="00C542C6">
        <w:t xml:space="preserve">230.01 </w:t>
      </w:r>
      <w:r w:rsidRPr="00D466F5">
        <w:t>.  36 miles (53-17) x $</w:t>
      </w:r>
      <w:r w:rsidR="00F73041">
        <w:t>9.02</w:t>
      </w:r>
      <w:r w:rsidRPr="00D466F5">
        <w:t xml:space="preserve"> = $</w:t>
      </w:r>
      <w:r w:rsidR="00F73041">
        <w:t>324.72</w:t>
      </w:r>
      <w:r w:rsidRPr="00D466F5">
        <w:t>.  $</w:t>
      </w:r>
      <w:r w:rsidR="00F73041">
        <w:t>230.01</w:t>
      </w:r>
      <w:r w:rsidRPr="00D466F5">
        <w:t xml:space="preserve"> + $</w:t>
      </w:r>
      <w:r w:rsidR="00F73041">
        <w:t>324.</w:t>
      </w:r>
      <w:r w:rsidR="00565B25">
        <w:t xml:space="preserve">72 </w:t>
      </w:r>
      <w:r w:rsidR="00565B25" w:rsidRPr="00D466F5">
        <w:t>+</w:t>
      </w:r>
      <w:r w:rsidRPr="00D466F5">
        <w:t xml:space="preserve"> $</w:t>
      </w:r>
      <w:r w:rsidR="00F73041">
        <w:t>9.</w:t>
      </w:r>
      <w:r w:rsidR="00565B25">
        <w:t xml:space="preserve">02 </w:t>
      </w:r>
      <w:r w:rsidR="00565B25" w:rsidRPr="00D466F5">
        <w:t>(</w:t>
      </w:r>
      <w:r w:rsidRPr="00D466F5">
        <w:t>Base Rate from column Rural Mileage) = $</w:t>
      </w:r>
      <w:r w:rsidR="00F73041">
        <w:t>563.75</w:t>
      </w:r>
      <w:r w:rsidRPr="00D466F5">
        <w:t xml:space="preserve"> total reimbursement.</w:t>
      </w:r>
    </w:p>
    <w:p w14:paraId="46385CF0" w14:textId="77777777" w:rsidR="00DB76D5" w:rsidRPr="00D466F5" w:rsidRDefault="00DB76D5" w:rsidP="00561BA4"/>
    <w:p w14:paraId="7B523F92" w14:textId="77777777" w:rsidR="00DB76D5" w:rsidRPr="00D466F5" w:rsidRDefault="00DB76D5" w:rsidP="00561BA4">
      <w:r w:rsidRPr="00D466F5">
        <w:t>Urban:  Injured worker is transported 3 miles from one facility in Missoula to another:</w:t>
      </w:r>
    </w:p>
    <w:p w14:paraId="1D5DC2D2" w14:textId="003525F5" w:rsidR="00DB76D5" w:rsidRPr="00D466F5" w:rsidRDefault="00DB76D5" w:rsidP="00561BA4">
      <w:r w:rsidRPr="00D466F5">
        <w:t>3 miles x $</w:t>
      </w:r>
      <w:r w:rsidR="00F73041">
        <w:t xml:space="preserve">8.94 </w:t>
      </w:r>
      <w:r w:rsidRPr="00D466F5">
        <w:t xml:space="preserve"> = $</w:t>
      </w:r>
      <w:r w:rsidR="00F73041">
        <w:t xml:space="preserve">26.82 </w:t>
      </w:r>
      <w:r w:rsidRPr="00D466F5">
        <w:t xml:space="preserve"> + $</w:t>
      </w:r>
      <w:r w:rsidR="00F73041">
        <w:t xml:space="preserve">8.94 </w:t>
      </w:r>
      <w:r w:rsidRPr="00D466F5">
        <w:t xml:space="preserve"> (Base Rate from column Urban Mileage) = $</w:t>
      </w:r>
      <w:r w:rsidR="00F73041">
        <w:t xml:space="preserve">35.76 </w:t>
      </w:r>
      <w:r w:rsidRPr="00D466F5">
        <w:t>.</w:t>
      </w:r>
    </w:p>
    <w:p w14:paraId="3107B2A7" w14:textId="77777777" w:rsidR="00DB76D5" w:rsidRPr="003E2081" w:rsidRDefault="00DB76D5" w:rsidP="00561BA4"/>
    <w:p w14:paraId="0F5D8BA2" w14:textId="77777777" w:rsidR="00DB76D5" w:rsidRPr="00DB76D5" w:rsidRDefault="00DB76D5" w:rsidP="00561BA4">
      <w:r w:rsidRPr="003E2081">
        <w:t>A0426 – A0436 use columns Urban Mileage or Rural Mileage</w:t>
      </w:r>
    </w:p>
    <w:p w14:paraId="68441458" w14:textId="77777777" w:rsidR="00311F3F" w:rsidRPr="00311F3F" w:rsidRDefault="00311F3F" w:rsidP="00561BA4">
      <w:pPr>
        <w:rPr>
          <w:b/>
          <w:i/>
        </w:rPr>
      </w:pPr>
    </w:p>
    <w:p w14:paraId="3F718FA1" w14:textId="77777777" w:rsidR="003310C2" w:rsidRPr="003E2FCE" w:rsidRDefault="003310C2" w:rsidP="00561BA4">
      <w:pPr>
        <w:pStyle w:val="Heading2"/>
        <w:spacing w:before="0" w:after="0"/>
      </w:pPr>
      <w:bookmarkStart w:id="64" w:name="_Toc414007276"/>
      <w:bookmarkStart w:id="65" w:name="_Toc414007440"/>
      <w:bookmarkStart w:id="66" w:name="_Toc414007589"/>
      <w:bookmarkStart w:id="67" w:name="_Toc34916592"/>
      <w:r w:rsidRPr="003E2FCE">
        <w:t>CCI (Correct Coding Initiative) Edits</w:t>
      </w:r>
      <w:bookmarkEnd w:id="64"/>
      <w:bookmarkEnd w:id="65"/>
      <w:bookmarkEnd w:id="66"/>
      <w:bookmarkEnd w:id="67"/>
    </w:p>
    <w:p w14:paraId="029FEE88" w14:textId="7C912175" w:rsidR="003310C2" w:rsidRPr="003E2FCE" w:rsidRDefault="003310C2" w:rsidP="003310C2">
      <w:r w:rsidRPr="003E2FCE">
        <w:t xml:space="preserve">These will assist providers and insurers to understand how to reimburse when multiple codes are involved.  CCI edits are on the </w:t>
      </w:r>
      <w:r w:rsidR="00E34A7E">
        <w:t>ESD</w:t>
      </w:r>
      <w:r w:rsidR="00D466F5">
        <w:t xml:space="preserve"> </w:t>
      </w:r>
      <w:r w:rsidRPr="003E2FCE">
        <w:t xml:space="preserve">website. </w:t>
      </w:r>
    </w:p>
    <w:p w14:paraId="4C8E7F1E" w14:textId="77777777" w:rsidR="005C1F24" w:rsidRPr="003E2FCE" w:rsidRDefault="005C1F24" w:rsidP="005C1F24">
      <w:pPr>
        <w:pStyle w:val="Heading2"/>
      </w:pPr>
      <w:bookmarkStart w:id="68" w:name="_Toc414007277"/>
      <w:bookmarkStart w:id="69" w:name="_Toc414007441"/>
      <w:bookmarkStart w:id="70" w:name="_Toc414007590"/>
      <w:bookmarkStart w:id="71" w:name="_Toc34916593"/>
      <w:r w:rsidRPr="003E2FCE">
        <w:t>Drug Screens</w:t>
      </w:r>
      <w:bookmarkEnd w:id="68"/>
      <w:bookmarkEnd w:id="69"/>
      <w:bookmarkEnd w:id="70"/>
      <w:bookmarkEnd w:id="71"/>
    </w:p>
    <w:p w14:paraId="11AF8615" w14:textId="1C4DAFA9" w:rsidR="009344D8" w:rsidRDefault="00035FC2" w:rsidP="00035FC2">
      <w:pPr>
        <w:widowControl w:val="0"/>
        <w:autoSpaceDE w:val="0"/>
        <w:autoSpaceDN w:val="0"/>
        <w:ind w:right="216"/>
        <w:rPr>
          <w:rFonts w:eastAsia="Times New Roman"/>
        </w:rPr>
      </w:pPr>
      <w:bookmarkStart w:id="72"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14:paraId="6B58B3F1" w14:textId="77777777" w:rsidR="004316A8" w:rsidRDefault="004316A8" w:rsidP="000F4456">
      <w:pPr>
        <w:widowControl w:val="0"/>
        <w:tabs>
          <w:tab w:val="left" w:pos="1080"/>
        </w:tabs>
        <w:autoSpaceDE w:val="0"/>
        <w:autoSpaceDN w:val="0"/>
        <w:ind w:right="216"/>
        <w:rPr>
          <w:rFonts w:eastAsia="Times New Roman"/>
        </w:rPr>
      </w:pPr>
    </w:p>
    <w:p w14:paraId="15B7987E" w14:textId="43970C74" w:rsidR="009344D8" w:rsidRDefault="000F4456" w:rsidP="000F4456">
      <w:pPr>
        <w:pStyle w:val="ListParagraph"/>
        <w:widowControl w:val="0"/>
        <w:autoSpaceDE w:val="0"/>
        <w:autoSpaceDN w:val="0"/>
        <w:ind w:right="216"/>
        <w:rPr>
          <w:rFonts w:eastAsia="Times New Roman"/>
        </w:rPr>
      </w:pPr>
      <w:r w:rsidRPr="000F4456">
        <w:rPr>
          <w:rFonts w:eastAsia="Times New Roman"/>
          <w:b/>
        </w:rPr>
        <w:t>•</w:t>
      </w:r>
      <w:r>
        <w:rPr>
          <w:rFonts w:eastAsia="Times New Roman"/>
        </w:rPr>
        <w:t xml:space="preserve"> </w:t>
      </w:r>
      <w:r w:rsidR="000608AE" w:rsidRPr="000F4456">
        <w:rPr>
          <w:rFonts w:eastAsia="Times New Roman"/>
          <w:b/>
        </w:rPr>
        <w:t>80305</w:t>
      </w:r>
      <w:r w:rsidR="000608AE">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r w:rsidR="005A6287" w:rsidRPr="009344D8">
        <w:rPr>
          <w:rFonts w:eastAsia="Times New Roman"/>
        </w:rPr>
        <w:t>e.g.</w:t>
      </w:r>
      <w:r w:rsidR="009344D8" w:rsidRPr="009344D8">
        <w:rPr>
          <w:rFonts w:eastAsia="Times New Roman"/>
        </w:rPr>
        <w:t xml:space="preserve"> Dipsticks, cups, cards, cartridges, etc. and includes sample validation when performed, per date of service.</w:t>
      </w:r>
    </w:p>
    <w:p w14:paraId="2D96AD7A" w14:textId="77777777" w:rsidR="000F4456" w:rsidRDefault="000F4456" w:rsidP="000F4456">
      <w:pPr>
        <w:pStyle w:val="ListParagraph"/>
        <w:widowControl w:val="0"/>
        <w:autoSpaceDE w:val="0"/>
        <w:autoSpaceDN w:val="0"/>
        <w:ind w:left="1080" w:right="216"/>
        <w:rPr>
          <w:rFonts w:eastAsia="Times New Roman"/>
        </w:rPr>
      </w:pPr>
    </w:p>
    <w:p w14:paraId="3F61CA7A" w14:textId="7911449F"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80306</w:t>
      </w:r>
      <w:r w:rsidR="000608AE">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(e.g.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14:paraId="2CCEEF99" w14:textId="130D94EB" w:rsidR="000F4456" w:rsidRDefault="000F4456" w:rsidP="000F4456">
      <w:pPr>
        <w:pStyle w:val="ListParagraph"/>
        <w:widowControl w:val="0"/>
        <w:autoSpaceDE w:val="0"/>
        <w:autoSpaceDN w:val="0"/>
        <w:ind w:left="1080" w:right="216"/>
        <w:rPr>
          <w:rFonts w:eastAsia="Times New Roman"/>
        </w:rPr>
      </w:pPr>
    </w:p>
    <w:p w14:paraId="25A186B5" w14:textId="460CC61A"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80307</w:t>
      </w:r>
      <w:r w:rsidR="000608AE" w:rsidRPr="008A6B05">
        <w:rPr>
          <w:rFonts w:eastAsia="Times New Roman"/>
        </w:rPr>
        <w:t xml:space="preserve">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xml:space="preserve">, immunoassay, enzyme assay, TOF, </w:t>
      </w:r>
      <w:r w:rsidR="00953CB2">
        <w:rPr>
          <w:rFonts w:eastAsia="Times New Roman"/>
        </w:rPr>
        <w:t>M</w:t>
      </w:r>
      <w:r w:rsidR="009344D8">
        <w:rPr>
          <w:rFonts w:eastAsia="Times New Roman"/>
        </w:rPr>
        <w:t>ALDI, LDTD, DESI, DART, GHPC, GC mass spectrometry), and includes sample validation when performed, per date of service.</w:t>
      </w:r>
    </w:p>
    <w:p w14:paraId="40B9A62B" w14:textId="77777777" w:rsidR="009344D8" w:rsidRPr="009344D8" w:rsidRDefault="009344D8" w:rsidP="00035FC2">
      <w:pPr>
        <w:widowControl w:val="0"/>
        <w:autoSpaceDE w:val="0"/>
        <w:autoSpaceDN w:val="0"/>
        <w:ind w:right="216"/>
        <w:rPr>
          <w:rFonts w:eastAsia="Times New Roman"/>
        </w:rPr>
      </w:pPr>
    </w:p>
    <w:p w14:paraId="2D28A659" w14:textId="0B16B957"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14:paraId="01D0FA67" w14:textId="77777777" w:rsidR="000F4456" w:rsidRDefault="000F4456" w:rsidP="00035FC2">
      <w:pPr>
        <w:widowControl w:val="0"/>
        <w:autoSpaceDE w:val="0"/>
        <w:autoSpaceDN w:val="0"/>
        <w:ind w:right="216"/>
        <w:rPr>
          <w:rFonts w:eastAsia="Times New Roman"/>
        </w:rPr>
      </w:pPr>
    </w:p>
    <w:p w14:paraId="0B827F4C" w14:textId="77777777"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G0480—1-7 drug classes</w:t>
      </w:r>
    </w:p>
    <w:p w14:paraId="285A4DB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14:paraId="2B644DC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G0482 – 15-21 drug classes</w:t>
      </w:r>
    </w:p>
    <w:p w14:paraId="4208C580"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14:paraId="658DA327" w14:textId="77777777" w:rsidR="004A5703" w:rsidRDefault="004A5703" w:rsidP="004A5703">
      <w:pPr>
        <w:widowControl w:val="0"/>
        <w:autoSpaceDE w:val="0"/>
        <w:autoSpaceDN w:val="0"/>
        <w:ind w:right="216"/>
        <w:rPr>
          <w:rFonts w:eastAsia="Times New Roman"/>
        </w:rPr>
      </w:pPr>
    </w:p>
    <w:p w14:paraId="05B8FF57" w14:textId="77777777"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14:paraId="25285CDC" w14:textId="77777777" w:rsidR="009344D8" w:rsidRDefault="009344D8" w:rsidP="00035FC2">
      <w:pPr>
        <w:widowControl w:val="0"/>
        <w:autoSpaceDE w:val="0"/>
        <w:autoSpaceDN w:val="0"/>
        <w:ind w:right="216"/>
        <w:rPr>
          <w:rFonts w:eastAsia="Times New Roman"/>
        </w:rPr>
      </w:pPr>
    </w:p>
    <w:p w14:paraId="187F3CDD" w14:textId="77777777"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14:paraId="1D0F05FA" w14:textId="77777777" w:rsidTr="00C37299">
        <w:tc>
          <w:tcPr>
            <w:tcW w:w="2178" w:type="dxa"/>
          </w:tcPr>
          <w:p w14:paraId="644EB510" w14:textId="77777777" w:rsidR="00C37299" w:rsidRPr="00C37299" w:rsidRDefault="00C37299" w:rsidP="00C37299">
            <w:pPr>
              <w:ind w:right="216"/>
              <w:jc w:val="center"/>
              <w:rPr>
                <w:b/>
                <w:noProof/>
                <w:sz w:val="22"/>
                <w:szCs w:val="22"/>
              </w:rPr>
            </w:pPr>
            <w:r>
              <w:rPr>
                <w:b/>
                <w:noProof/>
                <w:sz w:val="22"/>
                <w:szCs w:val="22"/>
              </w:rPr>
              <w:t>TERM</w:t>
            </w:r>
          </w:p>
        </w:tc>
        <w:tc>
          <w:tcPr>
            <w:tcW w:w="7740" w:type="dxa"/>
          </w:tcPr>
          <w:p w14:paraId="3A850B4B" w14:textId="77777777"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14:paraId="27C47E70" w14:textId="77777777" w:rsidTr="00C37299">
        <w:tc>
          <w:tcPr>
            <w:tcW w:w="2178" w:type="dxa"/>
          </w:tcPr>
          <w:p w14:paraId="64651778" w14:textId="77777777"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14:paraId="154233A8" w14:textId="77777777"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14:paraId="673EAF2F" w14:textId="77777777" w:rsidTr="00C37299">
        <w:tc>
          <w:tcPr>
            <w:tcW w:w="2178" w:type="dxa"/>
          </w:tcPr>
          <w:p w14:paraId="38335053" w14:textId="77777777"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14:paraId="239D5E7D" w14:textId="77777777"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14:paraId="1F727335" w14:textId="77777777" w:rsidTr="00C37299">
        <w:tc>
          <w:tcPr>
            <w:tcW w:w="2178" w:type="dxa"/>
          </w:tcPr>
          <w:p w14:paraId="6AD38CBE" w14:textId="77777777"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14:paraId="50CB39BA" w14:textId="77777777"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14:paraId="04BA7B8B" w14:textId="77777777" w:rsidR="00EA51F7" w:rsidRDefault="00EA51F7" w:rsidP="002A7D83">
      <w:pPr>
        <w:ind w:right="216"/>
        <w:rPr>
          <w:rFonts w:asciiTheme="majorHAnsi" w:hAnsiTheme="majorHAnsi"/>
          <w:b/>
          <w:i/>
          <w:sz w:val="28"/>
          <w:szCs w:val="28"/>
        </w:rPr>
      </w:pPr>
    </w:p>
    <w:p w14:paraId="01223B52" w14:textId="77777777" w:rsidR="008B620F" w:rsidRPr="00CB4C91" w:rsidRDefault="008B620F" w:rsidP="00CB4C91">
      <w:pPr>
        <w:pStyle w:val="Heading2"/>
      </w:pPr>
      <w:bookmarkStart w:id="73" w:name="_Toc414007278"/>
      <w:bookmarkStart w:id="74" w:name="_Toc414007442"/>
      <w:bookmarkStart w:id="75" w:name="_Toc414007591"/>
      <w:bookmarkStart w:id="76" w:name="_Toc34916594"/>
      <w:r w:rsidRPr="00CB4C91">
        <w:t>Facility Billing</w:t>
      </w:r>
      <w:bookmarkEnd w:id="72"/>
      <w:bookmarkEnd w:id="73"/>
      <w:bookmarkEnd w:id="74"/>
      <w:bookmarkEnd w:id="75"/>
      <w:bookmarkEnd w:id="76"/>
    </w:p>
    <w:p w14:paraId="194A78A1" w14:textId="77777777" w:rsidR="009275B6" w:rsidRDefault="008B620F" w:rsidP="005374CA">
      <w:r w:rsidRPr="003E2FCE">
        <w:t xml:space="preserve">The nationally utilized medical billing form UB04 will be used by providers for facility charges when requesting reimbursement.  </w:t>
      </w:r>
    </w:p>
    <w:p w14:paraId="59028909" w14:textId="77777777" w:rsidR="008B620F" w:rsidRPr="004D7F30" w:rsidRDefault="008B620F" w:rsidP="008B620F">
      <w:pPr>
        <w:pStyle w:val="Heading2"/>
      </w:pPr>
      <w:bookmarkStart w:id="77" w:name="_Toc353172298"/>
      <w:bookmarkStart w:id="78" w:name="_Toc414007279"/>
      <w:bookmarkStart w:id="79" w:name="_Toc414007443"/>
      <w:bookmarkStart w:id="80" w:name="_Toc414007592"/>
      <w:bookmarkStart w:id="81" w:name="_Toc34916595"/>
      <w:bookmarkStart w:id="82" w:name="OLE_LINK1"/>
      <w:r w:rsidRPr="00695DA8">
        <w:t>Independent Medical Review by the Department</w:t>
      </w:r>
      <w:bookmarkEnd w:id="77"/>
      <w:bookmarkEnd w:id="78"/>
      <w:bookmarkEnd w:id="79"/>
      <w:bookmarkEnd w:id="80"/>
      <w:bookmarkEnd w:id="81"/>
    </w:p>
    <w:p w14:paraId="51500DBA" w14:textId="4F7F4724"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 xml:space="preserve">treatment recommendations. The IMR request form is posted on the </w:t>
      </w:r>
      <w:r w:rsidR="00E34A7E">
        <w:t xml:space="preserve"> </w:t>
      </w:r>
      <w:r>
        <w:t>website.</w:t>
      </w:r>
    </w:p>
    <w:p w14:paraId="072B6680" w14:textId="77777777" w:rsidR="008B620F" w:rsidRPr="004D7F30" w:rsidRDefault="008B620F" w:rsidP="008B620F">
      <w:pPr>
        <w:pStyle w:val="Heading2"/>
      </w:pPr>
      <w:bookmarkStart w:id="83" w:name="_Toc353172297"/>
      <w:bookmarkStart w:id="84" w:name="_Toc414007280"/>
      <w:bookmarkStart w:id="85" w:name="_Toc414007444"/>
      <w:bookmarkStart w:id="86" w:name="_Toc414007593"/>
      <w:bookmarkStart w:id="87" w:name="_Toc34916596"/>
      <w:bookmarkEnd w:id="82"/>
      <w:r w:rsidRPr="004D7F30">
        <w:t>Medical Review and Utilization and Treatment Review by Insurers</w:t>
      </w:r>
      <w:bookmarkEnd w:id="83"/>
      <w:bookmarkEnd w:id="84"/>
      <w:bookmarkEnd w:id="85"/>
      <w:bookmarkEnd w:id="86"/>
      <w:bookmarkEnd w:id="87"/>
    </w:p>
    <w:p w14:paraId="2707EC62" w14:textId="27CB9956" w:rsidR="008B620F" w:rsidRPr="003E2FCE" w:rsidRDefault="008B620F" w:rsidP="008B620F">
      <w:r w:rsidRPr="003E2FCE">
        <w:t xml:space="preserve">Insurers </w:t>
      </w:r>
      <w:r>
        <w:t>will</w:t>
      </w:r>
      <w:r w:rsidRPr="003E2FCE">
        <w:t xml:space="preserve"> conduct </w:t>
      </w:r>
      <w:r>
        <w:t>any r</w:t>
      </w:r>
      <w:r w:rsidRPr="003E2FCE">
        <w:t>eviews on a post-payment basis only. Insurer may request providers to submit supporting documentation for services provided.</w:t>
      </w:r>
      <w:r w:rsidR="00340A9C">
        <w:t xml:space="preserve">  For documentation required for implants see the implant section below</w:t>
      </w:r>
      <w:r w:rsidR="00257F8A">
        <w:t>.</w:t>
      </w:r>
      <w:r w:rsidRPr="003E2FCE">
        <w:t xml:space="preserve">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14:paraId="760421B2" w14:textId="255DFD6B" w:rsidR="00E73700" w:rsidRPr="00C77BDF" w:rsidRDefault="00E73700" w:rsidP="00D945DF">
      <w:pPr>
        <w:pStyle w:val="Heading2"/>
      </w:pPr>
      <w:bookmarkStart w:id="88" w:name="_Toc414007281"/>
      <w:bookmarkStart w:id="89" w:name="_Toc414007445"/>
      <w:bookmarkStart w:id="90" w:name="_Toc414007594"/>
      <w:bookmarkStart w:id="91" w:name="_Toc34916597"/>
      <w:r w:rsidRPr="00C77BDF">
        <w:t>Medical Services</w:t>
      </w:r>
      <w:r>
        <w:t xml:space="preserve"> Rendered in a Facility by a Professional Provider</w:t>
      </w:r>
      <w:bookmarkEnd w:id="63"/>
      <w:bookmarkEnd w:id="88"/>
      <w:bookmarkEnd w:id="89"/>
      <w:bookmarkEnd w:id="90"/>
      <w:bookmarkEnd w:id="91"/>
    </w:p>
    <w:p w14:paraId="178DAF6A" w14:textId="77777777"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14:paraId="318F31D4" w14:textId="77777777" w:rsidR="008D0061" w:rsidRDefault="008D0061" w:rsidP="00402FBE">
      <w:pPr>
        <w:autoSpaceDE w:val="0"/>
        <w:autoSpaceDN w:val="0"/>
        <w:adjustRightInd w:val="0"/>
        <w:rPr>
          <w:bCs/>
        </w:rPr>
      </w:pPr>
    </w:p>
    <w:p w14:paraId="5D774DF5" w14:textId="43822062" w:rsidR="004915F3" w:rsidRDefault="00C248B8" w:rsidP="00402FBE">
      <w:pPr>
        <w:autoSpaceDE w:val="0"/>
        <w:autoSpaceDN w:val="0"/>
        <w:adjustRightInd w:val="0"/>
      </w:pPr>
      <w:r>
        <w:rPr>
          <w:bCs/>
        </w:rPr>
        <w:t xml:space="preserve">Exception to </w:t>
      </w:r>
      <w:r w:rsidR="00472756">
        <w:rPr>
          <w:bCs/>
        </w:rPr>
        <w:t xml:space="preserve">the above </w:t>
      </w:r>
      <w:r>
        <w:rPr>
          <w:bCs/>
        </w:rPr>
        <w:t xml:space="preserve">is </w:t>
      </w:r>
      <w:r>
        <w:t>PT, OT, ST</w:t>
      </w:r>
      <w:r w:rsidR="00472756">
        <w:t xml:space="preserve"> in which </w:t>
      </w:r>
      <w:r>
        <w:t>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14:paraId="42DEE073" w14:textId="77777777" w:rsidR="004915F3" w:rsidRDefault="00C248B8" w:rsidP="00402FBE">
      <w:pPr>
        <w:autoSpaceDE w:val="0"/>
        <w:autoSpaceDN w:val="0"/>
        <w:adjustRightInd w:val="0"/>
        <w:rPr>
          <w:spacing w:val="1"/>
        </w:rPr>
      </w:pPr>
      <w:r w:rsidRPr="009452F3">
        <w:rPr>
          <w:spacing w:val="1"/>
        </w:rPr>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14:paraId="7B556DF8" w14:textId="77777777" w:rsidR="008D0061" w:rsidRDefault="008D0061" w:rsidP="00402FBE">
      <w:pPr>
        <w:autoSpaceDE w:val="0"/>
        <w:autoSpaceDN w:val="0"/>
        <w:adjustRightInd w:val="0"/>
        <w:rPr>
          <w:spacing w:val="1"/>
        </w:rPr>
      </w:pPr>
    </w:p>
    <w:p w14:paraId="1768CD44" w14:textId="0B08B167" w:rsidR="00360C0D" w:rsidRDefault="00B326ED" w:rsidP="00402FBE">
      <w:pPr>
        <w:autoSpaceDE w:val="0"/>
        <w:autoSpaceDN w:val="0"/>
        <w:adjustRightInd w:val="0"/>
        <w:rPr>
          <w:spacing w:val="1"/>
        </w:rPr>
      </w:pPr>
      <w:r w:rsidRPr="00195976">
        <w:rPr>
          <w:lang w:val="en"/>
        </w:rPr>
        <w:t xml:space="preserve">Passive </w:t>
      </w:r>
      <w:r w:rsidRPr="00DB0334">
        <w:rPr>
          <w:rStyle w:val="Strong"/>
          <w:b w:val="0"/>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w:t>
      </w:r>
      <w:r w:rsidR="002A14EF">
        <w:rPr>
          <w:spacing w:val="1"/>
        </w:rPr>
        <w:t>example,</w:t>
      </w:r>
      <w:r>
        <w:rPr>
          <w:spacing w:val="1"/>
        </w:rPr>
        <w:t xml:space="preserv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14:paraId="2A975B15" w14:textId="77777777" w:rsidR="008D0061" w:rsidRPr="00402FBE" w:rsidRDefault="008D0061" w:rsidP="00402FBE">
      <w:pPr>
        <w:autoSpaceDE w:val="0"/>
        <w:autoSpaceDN w:val="0"/>
        <w:adjustRightInd w:val="0"/>
        <w:rPr>
          <w:bCs/>
        </w:rPr>
      </w:pPr>
    </w:p>
    <w:p w14:paraId="0B8E0302" w14:textId="77777777"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w:t>
      </w:r>
      <w:r w:rsidR="00472756">
        <w:rPr>
          <w:spacing w:val="1"/>
        </w:rPr>
        <w:t xml:space="preserve"> Utilization and Treatment</w:t>
      </w:r>
      <w:r w:rsidR="001F04D9">
        <w:rPr>
          <w:spacing w:val="1"/>
        </w:rPr>
        <w:t xml:space="preserve">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14:paraId="6216170D" w14:textId="77777777" w:rsidR="008D0061" w:rsidRDefault="008D0061" w:rsidP="00402FBE">
      <w:pPr>
        <w:widowControl w:val="0"/>
        <w:tabs>
          <w:tab w:val="left" w:pos="360"/>
        </w:tabs>
        <w:autoSpaceDE w:val="0"/>
        <w:autoSpaceDN w:val="0"/>
        <w:ind w:right="72"/>
        <w:contextualSpacing/>
        <w:rPr>
          <w:spacing w:val="1"/>
        </w:rPr>
      </w:pPr>
    </w:p>
    <w:p w14:paraId="047F37D3" w14:textId="5A33608F"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therapy or a passive modality.</w:t>
      </w:r>
      <w:r w:rsidR="006E18C8">
        <w:rPr>
          <w:spacing w:val="1"/>
        </w:rPr>
        <w:t xml:space="preserve"> </w:t>
      </w:r>
      <w:r w:rsidR="00F62524">
        <w:rPr>
          <w:spacing w:val="1"/>
        </w:rPr>
        <w:t xml:space="preserve">This code is not limited to 8 units.  </w:t>
      </w:r>
    </w:p>
    <w:p w14:paraId="1F8D54EC" w14:textId="710FE95C" w:rsidR="00E73700" w:rsidRPr="00695DA8" w:rsidRDefault="00E73700" w:rsidP="00D945DF">
      <w:pPr>
        <w:pStyle w:val="Heading2"/>
      </w:pPr>
      <w:bookmarkStart w:id="92" w:name="_Toc353172291"/>
      <w:bookmarkStart w:id="93" w:name="_Toc414007282"/>
      <w:bookmarkStart w:id="94" w:name="_Toc414007446"/>
      <w:bookmarkStart w:id="95" w:name="_Toc414007595"/>
      <w:bookmarkStart w:id="96" w:name="_Toc34916598"/>
      <w:r w:rsidRPr="004D7F30">
        <w:t>Medical Services Rendered O</w:t>
      </w:r>
      <w:r w:rsidRPr="00695DA8">
        <w:t>utside a Facility by a Professional Provider</w:t>
      </w:r>
      <w:bookmarkEnd w:id="92"/>
      <w:bookmarkEnd w:id="93"/>
      <w:bookmarkEnd w:id="94"/>
      <w:bookmarkEnd w:id="95"/>
      <w:bookmarkEnd w:id="96"/>
    </w:p>
    <w:p w14:paraId="0BFFAF37" w14:textId="77777777"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14:paraId="6AF17D69" w14:textId="77777777" w:rsidR="008B620F" w:rsidRPr="003E2FCE" w:rsidRDefault="008B620F" w:rsidP="008B620F">
      <w:pPr>
        <w:pStyle w:val="Heading2"/>
      </w:pPr>
      <w:bookmarkStart w:id="97" w:name="_Toc353172306"/>
      <w:bookmarkStart w:id="98" w:name="_Toc414007283"/>
      <w:bookmarkStart w:id="99" w:name="_Toc414007447"/>
      <w:bookmarkStart w:id="100" w:name="_Toc414007596"/>
      <w:bookmarkStart w:id="101" w:name="_Toc34916599"/>
      <w:bookmarkStart w:id="102" w:name="_Toc353172305"/>
      <w:bookmarkStart w:id="103" w:name="_Toc353172293"/>
      <w:r w:rsidRPr="003E2FCE">
        <w:t>Medically Unlikely Edits</w:t>
      </w:r>
      <w:bookmarkEnd w:id="97"/>
      <w:r>
        <w:t xml:space="preserve"> (MUEs)</w:t>
      </w:r>
      <w:bookmarkEnd w:id="98"/>
      <w:bookmarkEnd w:id="99"/>
      <w:bookmarkEnd w:id="100"/>
      <w:bookmarkEnd w:id="101"/>
    </w:p>
    <w:p w14:paraId="4D651A55" w14:textId="712B5555"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 xml:space="preserve">on the </w:t>
      </w:r>
      <w:r w:rsidR="00E34A7E">
        <w:t>ESD</w:t>
      </w:r>
      <w:r w:rsidR="00E34A7E" w:rsidRPr="003E2FCE">
        <w:t xml:space="preserve"> </w:t>
      </w:r>
      <w:r w:rsidRPr="003E2FCE">
        <w:t>website.</w:t>
      </w:r>
    </w:p>
    <w:p w14:paraId="3AB00C04" w14:textId="0C6D8C26" w:rsidR="00027B3D" w:rsidRPr="004D7F30" w:rsidRDefault="00027B3D" w:rsidP="00D945DF">
      <w:pPr>
        <w:pStyle w:val="Heading2"/>
      </w:pPr>
      <w:bookmarkStart w:id="104" w:name="_Toc414007284"/>
      <w:bookmarkStart w:id="105" w:name="_Toc414007448"/>
      <w:bookmarkStart w:id="106" w:name="_Toc414007597"/>
      <w:bookmarkStart w:id="107" w:name="_Toc34916600"/>
      <w:bookmarkEnd w:id="102"/>
      <w:r w:rsidRPr="00ED5AF6">
        <w:t>Multiple Procedures</w:t>
      </w:r>
      <w:bookmarkEnd w:id="103"/>
      <w:bookmarkEnd w:id="104"/>
      <w:bookmarkEnd w:id="105"/>
      <w:bookmarkEnd w:id="106"/>
      <w:bookmarkEnd w:id="107"/>
    </w:p>
    <w:p w14:paraId="0EC9C6D4" w14:textId="5BD420CC" w:rsidR="002B7EB7"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14:paraId="73FB0CD8" w14:textId="77777777" w:rsidR="001F59DA" w:rsidRPr="003E2FCE" w:rsidRDefault="001F59DA" w:rsidP="00BF2DC8"/>
    <w:p w14:paraId="6DDD7087" w14:textId="77777777"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14:paraId="6332F01D" w14:textId="77777777"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14:paraId="34327927" w14:textId="77777777"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14:paraId="0F5EA73C" w14:textId="5513C2AD" w:rsidR="002B7EB7" w:rsidRDefault="002B7EB7" w:rsidP="00BF2DC8">
      <w:r w:rsidRPr="003E2FCE">
        <w:tab/>
      </w:r>
      <w:r w:rsidRPr="003E2FCE">
        <w:tab/>
        <w:t>Third and all subsequent procedures</w:t>
      </w:r>
      <w:r w:rsidRPr="003E2FCE">
        <w:tab/>
      </w:r>
      <w:r w:rsidR="00A73D4A">
        <w:tab/>
      </w:r>
      <w:r w:rsidR="00A73D4A">
        <w:tab/>
      </w:r>
      <w:r w:rsidRPr="003E2FCE">
        <w:t>25%</w:t>
      </w:r>
    </w:p>
    <w:p w14:paraId="72204A6D" w14:textId="77777777" w:rsidR="001F59DA" w:rsidRPr="003E2FCE" w:rsidRDefault="001F59DA" w:rsidP="00BF2DC8"/>
    <w:p w14:paraId="3D426903" w14:textId="77777777" w:rsidR="002B7EB7" w:rsidRPr="003E2FCE" w:rsidRDefault="002B7EB7" w:rsidP="00BF2DC8">
      <w:r w:rsidRPr="003E2FCE">
        <w:tab/>
        <w:t>Technical Component</w:t>
      </w:r>
    </w:p>
    <w:p w14:paraId="37C3651E" w14:textId="77777777"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14:paraId="5E0AFF3F" w14:textId="77777777" w:rsidR="002B7EB7" w:rsidRDefault="002B7EB7" w:rsidP="00BF2DC8">
      <w:r w:rsidRPr="003E2FCE">
        <w:tab/>
      </w:r>
      <w:r w:rsidRPr="003E2FCE">
        <w:tab/>
        <w:t>Second and all s</w:t>
      </w:r>
      <w:r w:rsidR="00F673A7" w:rsidRPr="003E2FCE">
        <w:t>ubsequent procedures</w:t>
      </w:r>
      <w:r w:rsidRPr="003E2FCE">
        <w:tab/>
      </w:r>
      <w:r w:rsidRPr="003E2FCE">
        <w:tab/>
        <w:t>25%</w:t>
      </w:r>
    </w:p>
    <w:p w14:paraId="66EEFB70" w14:textId="77777777" w:rsidR="00402FBE" w:rsidRDefault="00402FBE" w:rsidP="00BF2DC8"/>
    <w:p w14:paraId="7930D293" w14:textId="07916B27" w:rsidR="003527C7" w:rsidRPr="008A6B05"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D466F5">
        <w:t>Refer to</w:t>
      </w:r>
      <w:r w:rsidR="0001443B" w:rsidRPr="00D466F5">
        <w:t xml:space="preserve"> </w:t>
      </w:r>
      <w:r w:rsidR="00953CB2" w:rsidRPr="00D466F5">
        <w:t xml:space="preserve">J1 </w:t>
      </w:r>
      <w:r w:rsidR="0001443B" w:rsidRPr="00D466F5">
        <w:t>tables for</w:t>
      </w:r>
      <w:r w:rsidR="00953CB2" w:rsidRPr="00D466F5">
        <w:t xml:space="preserve"> status indicator</w:t>
      </w:r>
      <w:r w:rsidR="00493DBD" w:rsidRPr="00D466F5">
        <w:t xml:space="preserve"> </w:t>
      </w:r>
      <w:r w:rsidR="0001443B" w:rsidRPr="00D466F5">
        <w:t xml:space="preserve">ranking </w:t>
      </w:r>
      <w:r w:rsidR="0001443B">
        <w:t xml:space="preserve">and </w:t>
      </w:r>
      <w:r w:rsidR="00493DBD" w:rsidRPr="008A6B05">
        <w:t>complexity reimbursement for</w:t>
      </w:r>
      <w:r w:rsidR="000608AE" w:rsidRPr="008A6B05">
        <w:t xml:space="preserve"> those codes with a J1 or J2 status indicator.</w:t>
      </w:r>
    </w:p>
    <w:p w14:paraId="610B37E7" w14:textId="77777777"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14:paraId="066C8558" w14:textId="634B0D7F" w:rsidR="00D53111" w:rsidRPr="003E2FCE" w:rsidRDefault="003527C7" w:rsidP="003527C7">
      <w:r w:rsidRPr="003E2FCE">
        <w:tab/>
      </w:r>
      <w:r w:rsidRPr="003E2FCE">
        <w:tab/>
        <w:t xml:space="preserve">Second </w:t>
      </w:r>
      <w:r w:rsidR="001112A2">
        <w:t xml:space="preserve">and all </w:t>
      </w:r>
      <w:r w:rsidRPr="003E2FCE">
        <w:t>subsequent procedure</w:t>
      </w:r>
      <w:r w:rsidR="001112A2">
        <w:t>s</w:t>
      </w:r>
      <w:r w:rsidRPr="003E2FCE">
        <w:tab/>
      </w:r>
      <w:r w:rsidR="001112A2">
        <w:tab/>
        <w:t>25%</w:t>
      </w:r>
      <w:r w:rsidRPr="003E2FCE">
        <w:tab/>
      </w:r>
      <w:r w:rsidR="00E71EFD">
        <w:tab/>
      </w:r>
      <w:r w:rsidRPr="003E2FCE">
        <w:tab/>
      </w:r>
    </w:p>
    <w:p w14:paraId="0C442E14" w14:textId="72A08BC1" w:rsidR="00930412" w:rsidRPr="004D7F30" w:rsidRDefault="00930412" w:rsidP="00D945DF">
      <w:pPr>
        <w:pStyle w:val="Heading2"/>
      </w:pPr>
      <w:bookmarkStart w:id="108" w:name="_Toc353172296"/>
      <w:bookmarkStart w:id="109" w:name="_Toc414007285"/>
      <w:bookmarkStart w:id="110" w:name="_Toc414007449"/>
      <w:bookmarkStart w:id="111" w:name="_Toc414007598"/>
      <w:bookmarkStart w:id="112" w:name="_Toc34916601"/>
      <w:r w:rsidRPr="004D7F30">
        <w:t>New Codes</w:t>
      </w:r>
      <w:bookmarkEnd w:id="108"/>
      <w:bookmarkEnd w:id="109"/>
      <w:bookmarkEnd w:id="110"/>
      <w:bookmarkEnd w:id="111"/>
      <w:bookmarkEnd w:id="112"/>
    </w:p>
    <w:p w14:paraId="2EA87614" w14:textId="77777777"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14:paraId="0FC6BBAE" w14:textId="700C5D7A" w:rsidR="00907A45" w:rsidRDefault="00907A45" w:rsidP="00D26857">
      <w:pPr>
        <w:pStyle w:val="Heading2"/>
      </w:pPr>
      <w:bookmarkStart w:id="113" w:name="_Toc414007286"/>
      <w:bookmarkStart w:id="114" w:name="_Toc414007450"/>
      <w:bookmarkStart w:id="115" w:name="_Toc414007599"/>
      <w:bookmarkStart w:id="116" w:name="_Toc34916602"/>
      <w:r w:rsidRPr="00402FBE">
        <w:t>Outliers</w:t>
      </w:r>
      <w:bookmarkEnd w:id="113"/>
      <w:bookmarkEnd w:id="114"/>
      <w:bookmarkEnd w:id="115"/>
      <w:bookmarkEnd w:id="116"/>
    </w:p>
    <w:p w14:paraId="5C8C037F" w14:textId="2269E407" w:rsidR="00AB7F5E" w:rsidRPr="00D04447" w:rsidRDefault="00907A45" w:rsidP="00BF2DC8">
      <w:pPr>
        <w:rPr>
          <w:iCs/>
        </w:rPr>
      </w:pPr>
      <w:r w:rsidRPr="00D04447">
        <w:t xml:space="preserve">Payment made to </w:t>
      </w:r>
      <w:r w:rsidR="000608AE" w:rsidRPr="00D04447">
        <w:t>facilities</w:t>
      </w:r>
      <w:r w:rsidR="008A6B05" w:rsidRPr="00D04447">
        <w:t xml:space="preserve"> </w:t>
      </w:r>
      <w:r w:rsidR="000608AE" w:rsidRPr="00D04447">
        <w:t>with a DRG inpatient code</w:t>
      </w:r>
      <w:r w:rsidR="00E438D9" w:rsidRPr="00D04447">
        <w:t xml:space="preserve"> only</w:t>
      </w:r>
      <w:r w:rsidR="000608AE" w:rsidRPr="00D04447">
        <w:t xml:space="preserve">, </w:t>
      </w:r>
      <w:r w:rsidRPr="00D04447">
        <w:t xml:space="preserve">to the basic prospective payments for </w:t>
      </w:r>
      <w:r w:rsidR="00C017AC" w:rsidRPr="00D04447">
        <w:t xml:space="preserve">inpatient </w:t>
      </w:r>
      <w:r w:rsidRPr="00D04447">
        <w:t>cases incurring extraordinarily high costs.  This additional payment known as an “Outlier” is designed to protect the hospital from large financial losses due to unusually expensive cases.</w:t>
      </w:r>
      <w:r w:rsidR="004915F3" w:rsidRPr="00D04447">
        <w:t xml:space="preserve">  Implants </w:t>
      </w:r>
      <w:r w:rsidR="00403D08" w:rsidRPr="00D04447">
        <w:t xml:space="preserve">billed </w:t>
      </w:r>
      <w:r w:rsidR="00E05D4E" w:rsidRPr="00D04447">
        <w:t>with</w:t>
      </w:r>
      <w:r w:rsidR="00403D08" w:rsidRPr="00D04447">
        <w:t xml:space="preserve"> MT 003 </w:t>
      </w:r>
      <w:r w:rsidR="004915F3" w:rsidRPr="00D04447">
        <w:t>are excluded from outlier calculations.</w:t>
      </w:r>
    </w:p>
    <w:p w14:paraId="026EFA41" w14:textId="153934E2" w:rsidR="00A134D8" w:rsidRPr="003E2FCE" w:rsidRDefault="00A134D8" w:rsidP="00A134D8">
      <w:pPr>
        <w:pStyle w:val="Heading2"/>
      </w:pPr>
      <w:bookmarkStart w:id="117" w:name="_Toc353172307"/>
      <w:bookmarkStart w:id="118" w:name="_Toc414007287"/>
      <w:bookmarkStart w:id="119" w:name="_Toc414007451"/>
      <w:bookmarkStart w:id="120" w:name="_Toc414007600"/>
      <w:bookmarkStart w:id="121" w:name="_Toc34916603"/>
      <w:r w:rsidRPr="00FD6911">
        <w:t>Status Code Indicators (SI)</w:t>
      </w:r>
      <w:bookmarkEnd w:id="117"/>
      <w:bookmarkEnd w:id="118"/>
      <w:bookmarkEnd w:id="119"/>
      <w:bookmarkEnd w:id="120"/>
      <w:bookmarkEnd w:id="121"/>
      <w:r w:rsidRPr="003E2FCE">
        <w:t xml:space="preserve"> </w:t>
      </w:r>
    </w:p>
    <w:p w14:paraId="76833E4A" w14:textId="0D5AA5EC" w:rsidR="00A134D8" w:rsidRDefault="00A134D8" w:rsidP="00A134D8">
      <w:r w:rsidRPr="003E2FCE">
        <w:t xml:space="preserve">SI codes will be used to calculate reimbursements for services and supplies.  The codes are listed on the </w:t>
      </w:r>
      <w:r w:rsidR="00E34A7E">
        <w:t>ESD</w:t>
      </w:r>
      <w:r w:rsidR="00E34A7E" w:rsidRPr="003E2FCE">
        <w:t xml:space="preserve"> </w:t>
      </w:r>
      <w:r w:rsidRPr="003E2FCE">
        <w:t>website.</w:t>
      </w:r>
      <w:r w:rsidR="004915F3">
        <w:t xml:space="preserve"> </w:t>
      </w:r>
      <w:r w:rsidR="00851A6C">
        <w:t xml:space="preserve"> Refer to </w:t>
      </w:r>
      <w:r w:rsidR="002123DA">
        <w:t>S</w:t>
      </w:r>
      <w:r w:rsidR="00851A6C">
        <w:t xml:space="preserve">ection </w:t>
      </w:r>
      <w:r w:rsidR="002123DA">
        <w:t>F</w:t>
      </w:r>
      <w:r w:rsidR="00851A6C">
        <w:t>our</w:t>
      </w:r>
      <w:r w:rsidR="00257F8A">
        <w:t>.</w:t>
      </w:r>
      <w:r w:rsidR="00851A6C">
        <w:t xml:space="preserve"> </w:t>
      </w:r>
      <w:r w:rsidR="002123DA">
        <w:t xml:space="preserve"> </w:t>
      </w:r>
    </w:p>
    <w:p w14:paraId="23F9A34F" w14:textId="68CA360D" w:rsidR="008B620F" w:rsidRPr="004D7F30" w:rsidRDefault="008B620F" w:rsidP="008B620F">
      <w:pPr>
        <w:pStyle w:val="Heading2"/>
      </w:pPr>
      <w:bookmarkStart w:id="122" w:name="_Toc353172294"/>
      <w:bookmarkStart w:id="123" w:name="_Toc414007288"/>
      <w:bookmarkStart w:id="124" w:name="_Toc414007452"/>
      <w:bookmarkStart w:id="125" w:name="_Toc414007601"/>
      <w:bookmarkStart w:id="126" w:name="_Toc34916604"/>
      <w:r w:rsidRPr="004D7F30">
        <w:t>Usual and Customary</w:t>
      </w:r>
      <w:bookmarkEnd w:id="122"/>
      <w:bookmarkEnd w:id="123"/>
      <w:bookmarkEnd w:id="124"/>
      <w:bookmarkEnd w:id="125"/>
      <w:bookmarkEnd w:id="126"/>
    </w:p>
    <w:p w14:paraId="3AFAD302" w14:textId="372D6ACB" w:rsidR="008B620F" w:rsidRPr="003E2FCE" w:rsidRDefault="008B620F" w:rsidP="008B620F">
      <w:r w:rsidRPr="003E2FCE">
        <w:t xml:space="preserve">In Montana, </w:t>
      </w:r>
      <w:r w:rsidRPr="008B620F">
        <w:t>Usual and Customary</w:t>
      </w:r>
      <w:r w:rsidRPr="003E2FCE">
        <w:t xml:space="preserve"> means the provider’s normal charges for service</w:t>
      </w:r>
      <w:r w:rsidR="00F62524">
        <w:t xml:space="preserve"> </w:t>
      </w:r>
      <w:r w:rsidRPr="003E2FCE">
        <w:t xml:space="preserve">and </w:t>
      </w:r>
      <w:r w:rsidRPr="008B620F">
        <w:t>does not</w:t>
      </w:r>
      <w:r w:rsidRPr="003E2FCE">
        <w:t xml:space="preserve"> include state or regional database information purporting to be usual and customary.</w:t>
      </w:r>
    </w:p>
    <w:p w14:paraId="437DCE3D" w14:textId="71DD07A3" w:rsidR="004D7F30" w:rsidRDefault="004D7F30" w:rsidP="004D7F30">
      <w:pPr>
        <w:pStyle w:val="Heading1"/>
      </w:pPr>
      <w:bookmarkStart w:id="127" w:name="_Toc353172299"/>
      <w:bookmarkStart w:id="128" w:name="_Toc414007289"/>
      <w:bookmarkStart w:id="129" w:name="_Toc414007453"/>
      <w:bookmarkStart w:id="130" w:name="_Toc414007602"/>
      <w:bookmarkStart w:id="131" w:name="_Toc34916605"/>
      <w:r>
        <w:t>Section Three:  Inpatient (MS-DRG) Reimbursement</w:t>
      </w:r>
      <w:bookmarkEnd w:id="127"/>
      <w:bookmarkEnd w:id="128"/>
      <w:bookmarkEnd w:id="129"/>
      <w:bookmarkEnd w:id="130"/>
      <w:bookmarkEnd w:id="131"/>
    </w:p>
    <w:p w14:paraId="4C5DE42F" w14:textId="0D4BEDAD" w:rsidR="00706A9A" w:rsidRPr="003E2FCE" w:rsidRDefault="003E20D9" w:rsidP="00D945DF">
      <w:pPr>
        <w:pStyle w:val="Heading2"/>
      </w:pPr>
      <w:bookmarkStart w:id="132" w:name="_Toc353172300"/>
      <w:bookmarkStart w:id="133" w:name="_Toc414007290"/>
      <w:bookmarkStart w:id="134" w:name="_Toc414007454"/>
      <w:bookmarkStart w:id="135" w:name="_Toc414007603"/>
      <w:bookmarkStart w:id="136" w:name="_Toc34916606"/>
      <w:r w:rsidRPr="003E2FCE">
        <w:t>MS-DRG Reimbursement</w:t>
      </w:r>
      <w:bookmarkEnd w:id="132"/>
      <w:bookmarkEnd w:id="133"/>
      <w:bookmarkEnd w:id="134"/>
      <w:bookmarkEnd w:id="135"/>
      <w:bookmarkEnd w:id="136"/>
    </w:p>
    <w:p w14:paraId="4907B9BD" w14:textId="34D8A047"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effective </w:t>
      </w:r>
      <w:r w:rsidR="008D0061" w:rsidRPr="00D466F5">
        <w:t>July 1,</w:t>
      </w:r>
      <w:r w:rsidR="00181632" w:rsidRPr="00D466F5">
        <w:t>202</w:t>
      </w:r>
      <w:r w:rsidR="00B1554C" w:rsidRPr="00D466F5">
        <w:t>3</w:t>
      </w:r>
      <w:r w:rsidR="00BD3DF8" w:rsidRPr="00D466F5">
        <w:t xml:space="preserve"> </w:t>
      </w:r>
      <w:r w:rsidR="00893EE0" w:rsidRPr="00D466F5">
        <w:t>is</w:t>
      </w:r>
      <w:r w:rsidR="00181632" w:rsidRPr="00D466F5">
        <w:t xml:space="preserve"> </w:t>
      </w:r>
      <w:r w:rsidR="00B51222" w:rsidRPr="00D466F5">
        <w:t>$10,011</w:t>
      </w:r>
      <w:r w:rsidR="008A6B05">
        <w:t>.</w:t>
      </w:r>
      <w:r w:rsidR="00893EE0" w:rsidRPr="003E2FCE">
        <w:t xml:space="preserve">  The payment formula is the relative weight multiplied by the </w:t>
      </w:r>
      <w:r w:rsidR="00893EE0">
        <w:t>base rate.</w:t>
      </w:r>
    </w:p>
    <w:p w14:paraId="486D5942" w14:textId="77777777" w:rsidR="00893EE0" w:rsidRDefault="00893EE0" w:rsidP="00BF2DC8"/>
    <w:p w14:paraId="26060B66" w14:textId="77777777"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14:paraId="50F01A66" w14:textId="58593642" w:rsidR="00893EE0" w:rsidRPr="003E2FCE" w:rsidRDefault="00893EE0" w:rsidP="00D945DF">
      <w:pPr>
        <w:pStyle w:val="Heading2"/>
      </w:pPr>
      <w:bookmarkStart w:id="137" w:name="_Toc353172301"/>
      <w:bookmarkStart w:id="138" w:name="_Toc414007291"/>
      <w:bookmarkStart w:id="139" w:name="_Toc414007455"/>
      <w:bookmarkStart w:id="140" w:name="_Toc414007604"/>
      <w:bookmarkStart w:id="141" w:name="_Toc34916607"/>
      <w:r w:rsidRPr="003E2FCE">
        <w:t>MS-DRG Grouper</w:t>
      </w:r>
      <w:bookmarkEnd w:id="137"/>
      <w:bookmarkEnd w:id="138"/>
      <w:bookmarkEnd w:id="139"/>
      <w:bookmarkEnd w:id="140"/>
      <w:bookmarkEnd w:id="141"/>
    </w:p>
    <w:p w14:paraId="2631ACCC" w14:textId="77777777" w:rsidR="00893EE0" w:rsidRPr="003E2FCE" w:rsidRDefault="00893EE0" w:rsidP="00BF2DC8">
      <w:r w:rsidRPr="003E2FCE">
        <w:t xml:space="preserve">A MS-DRG grouper takes five clinical and demographic data elements as input and generates a corresponding MS-DRG classification code.  </w:t>
      </w:r>
    </w:p>
    <w:p w14:paraId="5ABEDD9B" w14:textId="7933039E" w:rsidR="006A0CC8" w:rsidRPr="003E2FCE" w:rsidRDefault="006A0CC8" w:rsidP="00D945DF">
      <w:pPr>
        <w:pStyle w:val="Heading2"/>
      </w:pPr>
      <w:bookmarkStart w:id="142" w:name="_Toc353172302"/>
      <w:bookmarkStart w:id="143" w:name="_Toc414007292"/>
      <w:bookmarkStart w:id="144" w:name="_Toc414007456"/>
      <w:bookmarkStart w:id="145" w:name="_Toc414007605"/>
      <w:bookmarkStart w:id="146" w:name="_Toc34916608"/>
      <w:r w:rsidRPr="003E2FCE">
        <w:t>Outliers</w:t>
      </w:r>
      <w:bookmarkEnd w:id="142"/>
      <w:bookmarkEnd w:id="143"/>
      <w:bookmarkEnd w:id="144"/>
      <w:bookmarkEnd w:id="145"/>
      <w:bookmarkEnd w:id="146"/>
    </w:p>
    <w:p w14:paraId="674878CB" w14:textId="3918BF52" w:rsidR="006A0CC8" w:rsidRPr="002710F0" w:rsidRDefault="006A0CC8" w:rsidP="00BF2DC8">
      <w:pPr>
        <w:rPr>
          <w:b/>
          <w:color w:val="FF0000"/>
        </w:rPr>
      </w:pPr>
      <w:r w:rsidRPr="003E2FCE">
        <w:t xml:space="preserve">Occasionally very high medical costs associated with a </w:t>
      </w:r>
      <w:r w:rsidR="00252415" w:rsidRPr="003E2FCE">
        <w:t>case</w:t>
      </w:r>
      <w:r w:rsidRPr="003E2FCE">
        <w:t xml:space="preserv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14:paraId="624EFCC1" w14:textId="4BD3AE59" w:rsidR="00CB4C91" w:rsidRDefault="00CB4C91">
      <w:pPr>
        <w:rPr>
          <w:b/>
        </w:rPr>
      </w:pPr>
    </w:p>
    <w:p w14:paraId="12D46F8A" w14:textId="7AC7C77D" w:rsidR="009E6455" w:rsidRDefault="009E6455">
      <w:pPr>
        <w:rPr>
          <w:b/>
        </w:rPr>
      </w:pPr>
    </w:p>
    <w:p w14:paraId="5D3CF5C1" w14:textId="06ACC3F6" w:rsidR="009E6455" w:rsidRDefault="009E6455">
      <w:pPr>
        <w:rPr>
          <w:b/>
        </w:rPr>
      </w:pPr>
    </w:p>
    <w:p w14:paraId="2CE6557D" w14:textId="77777777" w:rsidR="009E6455" w:rsidRDefault="009E6455">
      <w:pPr>
        <w:rPr>
          <w:b/>
        </w:rPr>
      </w:pPr>
    </w:p>
    <w:p w14:paraId="0B435F5E" w14:textId="77777777" w:rsidR="006A0CC8" w:rsidRPr="003E2FCE" w:rsidRDefault="00035C01" w:rsidP="00BF2DC8">
      <w:r>
        <w:rPr>
          <w:rFonts w:ascii="Calibri" w:hAnsi="Calibri" w:cs="Calibri"/>
          <w:noProof/>
        </w:rPr>
        <mc:AlternateContent>
          <mc:Choice Requires="wps">
            <w:drawing>
              <wp:anchor distT="0" distB="0" distL="114300" distR="114300" simplePos="0" relativeHeight="251657728" behindDoc="0" locked="0" layoutInCell="1" allowOverlap="1" wp14:anchorId="5C70F84D" wp14:editId="21243462">
                <wp:simplePos x="0" y="0"/>
                <wp:positionH relativeFrom="column">
                  <wp:posOffset>142876</wp:posOffset>
                </wp:positionH>
                <wp:positionV relativeFrom="paragraph">
                  <wp:posOffset>128905</wp:posOffset>
                </wp:positionV>
                <wp:extent cx="5867400" cy="227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4FB5" id="Rectangle 2" o:spid="_x0000_s1026" style="position:absolute;margin-left:11.25pt;margin-top:10.15pt;width:46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" filled="f"/>
            </w:pict>
          </mc:Fallback>
        </mc:AlternateContent>
      </w:r>
    </w:p>
    <w:p w14:paraId="32AE582A" w14:textId="77777777" w:rsidR="006A0CC8" w:rsidRPr="001754DD" w:rsidRDefault="006A0CC8" w:rsidP="00947386">
      <w:pPr>
        <w:ind w:left="360"/>
      </w:pPr>
      <w:r w:rsidRPr="001754DD">
        <w:t>To calculate outlier</w:t>
      </w:r>
      <w:r w:rsidR="00893EE0" w:rsidRPr="001754DD">
        <w:t>s,</w:t>
      </w:r>
      <w:r w:rsidRPr="001754DD">
        <w:t xml:space="preserve"> use the following formula:</w:t>
      </w:r>
    </w:p>
    <w:p w14:paraId="657913E1" w14:textId="77777777" w:rsidR="006A0CC8" w:rsidRPr="001754DD" w:rsidRDefault="006A0CC8" w:rsidP="00947386">
      <w:pPr>
        <w:ind w:left="360"/>
      </w:pPr>
      <w:r w:rsidRPr="001754DD">
        <w:t xml:space="preserve">       </w:t>
      </w:r>
      <w:r w:rsidR="00947386" w:rsidRPr="001754DD">
        <w:t>[Charges</w:t>
      </w:r>
      <w:r w:rsidRPr="001754DD">
        <w:t xml:space="preserve"> – (MS-DRG </w:t>
      </w:r>
      <w:r w:rsidR="007F41D7" w:rsidRPr="001754DD">
        <w:t>reimbursement</w:t>
      </w:r>
      <w:r w:rsidRPr="001754DD">
        <w:t xml:space="preserve"> </w:t>
      </w:r>
      <w:r w:rsidR="00893EE0" w:rsidRPr="001754DD">
        <w:t>x</w:t>
      </w:r>
      <w:r w:rsidR="00230774" w:rsidRPr="001754DD">
        <w:t xml:space="preserve"> 3)] x (</w:t>
      </w:r>
      <w:r w:rsidRPr="001754DD">
        <w:t>CC</w:t>
      </w:r>
      <w:r w:rsidR="00230774" w:rsidRPr="001754DD">
        <w:t>R plus 15%) = o</w:t>
      </w:r>
      <w:r w:rsidRPr="001754DD">
        <w:t xml:space="preserve">utlier reimbursement </w:t>
      </w:r>
    </w:p>
    <w:p w14:paraId="70FC89A9" w14:textId="77777777" w:rsidR="00230774" w:rsidRPr="001754DD" w:rsidRDefault="00230774" w:rsidP="00947386">
      <w:pPr>
        <w:ind w:left="360"/>
      </w:pPr>
      <w:r w:rsidRPr="001754DD">
        <w:t xml:space="preserve">There is a different </w:t>
      </w:r>
      <w:r w:rsidR="006A0CC8" w:rsidRPr="001754DD">
        <w:t>CC</w:t>
      </w:r>
      <w:r w:rsidRPr="001754DD">
        <w:t>R</w:t>
      </w:r>
      <w:r w:rsidR="006A0CC8" w:rsidRPr="001754DD">
        <w:t xml:space="preserve"> (Cost-to-Charge</w:t>
      </w:r>
      <w:r w:rsidRPr="001754DD">
        <w:t xml:space="preserve"> Ratio</w:t>
      </w:r>
      <w:r w:rsidR="006A0CC8" w:rsidRPr="001754DD">
        <w:t xml:space="preserve">) for each acute care hospital in Montana. </w:t>
      </w:r>
    </w:p>
    <w:p w14:paraId="2339F9F4" w14:textId="758983A1" w:rsidR="006A0CC8" w:rsidRPr="001754DD" w:rsidRDefault="00230774" w:rsidP="00947386">
      <w:pPr>
        <w:ind w:left="360"/>
      </w:pPr>
      <w:r w:rsidRPr="001754DD">
        <w:t xml:space="preserve">The </w:t>
      </w:r>
      <w:r w:rsidR="006A0CC8" w:rsidRPr="001754DD">
        <w:t>CC</w:t>
      </w:r>
      <w:r w:rsidRPr="001754DD">
        <w:t>R</w:t>
      </w:r>
      <w:r w:rsidR="006A0CC8" w:rsidRPr="001754DD">
        <w:t xml:space="preserve"> is listed on the </w:t>
      </w:r>
      <w:r w:rsidR="00E34A7E">
        <w:t>ESD</w:t>
      </w:r>
      <w:r w:rsidR="00E34A7E" w:rsidRPr="001754DD">
        <w:t xml:space="preserve"> </w:t>
      </w:r>
      <w:r w:rsidR="003A2026" w:rsidRPr="001754DD">
        <w:t>website</w:t>
      </w:r>
      <w:r w:rsidR="006A0CC8" w:rsidRPr="001754DD">
        <w:t xml:space="preserve"> for each </w:t>
      </w:r>
      <w:r w:rsidR="003A2026" w:rsidRPr="001754DD">
        <w:t xml:space="preserve">acute care </w:t>
      </w:r>
      <w:r w:rsidR="006A0CC8" w:rsidRPr="001754DD">
        <w:t>hospital.</w:t>
      </w:r>
    </w:p>
    <w:p w14:paraId="0236CC4D" w14:textId="77777777" w:rsidR="00947386" w:rsidRPr="001754DD" w:rsidRDefault="00947386" w:rsidP="00947386">
      <w:pPr>
        <w:ind w:left="360"/>
      </w:pPr>
    </w:p>
    <w:p w14:paraId="0B486477" w14:textId="77777777" w:rsidR="006A0CC8" w:rsidRPr="001754DD" w:rsidRDefault="002A4461" w:rsidP="00947386">
      <w:pPr>
        <w:ind w:left="360"/>
      </w:pPr>
      <w:r w:rsidRPr="001754DD">
        <w:t>Example:</w:t>
      </w:r>
    </w:p>
    <w:p w14:paraId="7342EF70" w14:textId="77777777" w:rsidR="002A4461" w:rsidRPr="001754DD" w:rsidRDefault="0015703C" w:rsidP="00947386">
      <w:pPr>
        <w:ind w:left="720"/>
      </w:pPr>
      <w:r w:rsidRPr="001754DD">
        <w:t>Charges are $100,000 from ABC Hospital</w:t>
      </w:r>
    </w:p>
    <w:p w14:paraId="69E89416" w14:textId="77777777" w:rsidR="0015703C" w:rsidRPr="001754DD" w:rsidRDefault="0015703C" w:rsidP="00947386">
      <w:pPr>
        <w:ind w:left="720"/>
      </w:pPr>
      <w:r w:rsidRPr="001754DD">
        <w:t>MS-DRG reimbursement per the fee schedule is $25,000</w:t>
      </w:r>
    </w:p>
    <w:p w14:paraId="1A85FD04" w14:textId="77777777" w:rsidR="006A0CC8" w:rsidRPr="001754DD" w:rsidRDefault="0015703C" w:rsidP="00947386">
      <w:pPr>
        <w:ind w:left="720"/>
      </w:pPr>
      <w:r w:rsidRPr="001754DD">
        <w:tab/>
        <w:t>Outlier threshold is $75,000</w:t>
      </w:r>
      <w:r w:rsidR="00035C01" w:rsidRPr="001754DD">
        <w:t xml:space="preserve">.  </w:t>
      </w:r>
      <w:r w:rsidRPr="001754DD">
        <w:t>$25,000 x 3 = $75,000</w:t>
      </w:r>
    </w:p>
    <w:p w14:paraId="214840F2" w14:textId="77777777" w:rsidR="0015703C" w:rsidRPr="001754DD" w:rsidRDefault="0015703C" w:rsidP="00947386">
      <w:pPr>
        <w:ind w:left="720"/>
      </w:pPr>
      <w:r w:rsidRPr="001754DD">
        <w:tab/>
      </w:r>
      <w:r w:rsidR="001E152A" w:rsidRPr="001754DD">
        <w:t xml:space="preserve">CCR </w:t>
      </w:r>
      <w:r w:rsidRPr="001754DD">
        <w:t>is 0.50</w:t>
      </w:r>
    </w:p>
    <w:p w14:paraId="6BF04A1F" w14:textId="77777777" w:rsidR="0015703C" w:rsidRPr="001754DD" w:rsidRDefault="00035C01" w:rsidP="00947386">
      <w:pPr>
        <w:ind w:left="720"/>
      </w:pPr>
      <w:r w:rsidRPr="001754DD">
        <w:tab/>
      </w:r>
      <w:r w:rsidRPr="001754DD">
        <w:tab/>
      </w:r>
      <w:r w:rsidR="0015703C" w:rsidRPr="001754DD">
        <w:t>($100,000 - $75,000) x (0.50 + .15) = $16,250.00</w:t>
      </w:r>
    </w:p>
    <w:p w14:paraId="7C5868AA" w14:textId="77777777" w:rsidR="0015703C" w:rsidRPr="001754DD" w:rsidRDefault="0015703C" w:rsidP="00947386">
      <w:pPr>
        <w:ind w:left="720"/>
        <w:rPr>
          <w:rFonts w:ascii="Cambria" w:hAnsi="Cambria" w:cs="Calibri"/>
        </w:rPr>
      </w:pPr>
      <w:r w:rsidRPr="001754DD">
        <w:tab/>
        <w:t>The total reimbursement to ABC Hospital would be $25,000 + $16,250 = $41,250</w:t>
      </w:r>
    </w:p>
    <w:p w14:paraId="66B4470E" w14:textId="1FC0C46D" w:rsidR="00A46146" w:rsidRPr="00A46146" w:rsidRDefault="009C7C91" w:rsidP="00A46146">
      <w:pPr>
        <w:pStyle w:val="Heading2"/>
      </w:pPr>
      <w:bookmarkStart w:id="147" w:name="_Toc34916609"/>
      <w:r>
        <w:t>Implants</w:t>
      </w:r>
      <w:bookmarkEnd w:id="147"/>
    </w:p>
    <w:p w14:paraId="2D16C352" w14:textId="77777777"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riate implant and the hospital or ASC</w:t>
      </w:r>
      <w:r w:rsidRPr="003E2FCE">
        <w:t xml:space="preserve"> implant costs are appropriately reimbursed.</w:t>
      </w:r>
    </w:p>
    <w:p w14:paraId="5D4FF575" w14:textId="77777777" w:rsidR="00E97F67" w:rsidRPr="003E2FCE" w:rsidRDefault="00E97F67" w:rsidP="00BF2DC8"/>
    <w:p w14:paraId="5F886D15" w14:textId="77777777"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14:paraId="0FCDA7D5" w14:textId="77777777" w:rsidR="00E97F67" w:rsidRPr="003E2FCE" w:rsidRDefault="00E97F67" w:rsidP="00BF2DC8"/>
    <w:p w14:paraId="5FAC4AC1" w14:textId="77777777" w:rsidR="00E97F67" w:rsidRPr="003E2FCE" w:rsidRDefault="00E97F67" w:rsidP="00BF2DC8">
      <w:r w:rsidRPr="003E2FCE">
        <w:t xml:space="preserve">Implant cost refers </w:t>
      </w:r>
      <w:r w:rsidR="00E76EC3" w:rsidRPr="003E2FCE">
        <w:t xml:space="preserve">to </w:t>
      </w:r>
      <w:r w:rsidR="001C03AD">
        <w:t xml:space="preserve">the total cost of </w:t>
      </w:r>
      <w:r w:rsidR="001C03AD" w:rsidRPr="000F1FB7">
        <w:rPr>
          <w:b/>
        </w:rPr>
        <w:t>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14:paraId="6FBCA6AD" w14:textId="77777777" w:rsidR="00EE1737" w:rsidRPr="003E2FCE" w:rsidRDefault="00877558" w:rsidP="00BF2DC8">
      <w:r w:rsidRPr="003E2FCE">
        <w:t>Inpatient Implant Reimbursement</w:t>
      </w:r>
      <w:r w:rsidR="00EE1737" w:rsidRPr="003E2FCE">
        <w:t>:</w:t>
      </w:r>
    </w:p>
    <w:p w14:paraId="33532F83" w14:textId="25AA204D"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w:t>
      </w:r>
      <w:r w:rsidR="00252415">
        <w:t>are</w:t>
      </w:r>
      <w:r w:rsidRPr="003E2FCE">
        <w:t xml:space="preserve"> bundled into the MS-DRG reimbursement</w:t>
      </w:r>
      <w:r w:rsidR="000F1FB7">
        <w:t xml:space="preserve"> and do not require invoices for implant costs.</w:t>
      </w:r>
      <w:r w:rsidR="00562CA3">
        <w:t xml:space="preserve">  If costs</w:t>
      </w:r>
      <w:r w:rsidR="00CF3974">
        <w:t xml:space="preserve"> are more than $10,000.00 and</w:t>
      </w:r>
      <w:r w:rsidR="00562CA3">
        <w:t xml:space="preserve"> additional reimbursement is being sought through MT003, the invoices must accompany the bill.</w:t>
      </w:r>
    </w:p>
    <w:p w14:paraId="19528763" w14:textId="77777777"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14:paraId="0E20AFCB" w14:textId="77777777"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14:paraId="1704B586" w14:textId="77777777"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14:paraId="69B9C3D1" w14:textId="1876C380" w:rsidR="00A134D8" w:rsidRDefault="00877558" w:rsidP="0094373D">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r w:rsidR="00953CB2">
        <w:t>.</w:t>
      </w:r>
    </w:p>
    <w:p w14:paraId="4049D4ED" w14:textId="77777777" w:rsidR="00CE4D4D" w:rsidRDefault="002A14EF" w:rsidP="005D41E6">
      <w:pPr>
        <w:pStyle w:val="Heading2"/>
        <w:rPr>
          <w:b w:val="0"/>
          <w:i w:val="0"/>
        </w:rPr>
      </w:pPr>
      <w:bookmarkStart w:id="148" w:name="_Toc34916610"/>
      <w:r w:rsidRPr="002A14EF">
        <w:t>Modifiers</w:t>
      </w:r>
      <w:bookmarkEnd w:id="148"/>
      <w:r w:rsidR="009E6455">
        <w:rPr>
          <w:b w:val="0"/>
          <w:i w:val="0"/>
        </w:rPr>
        <w:t xml:space="preserve"> </w:t>
      </w:r>
    </w:p>
    <w:p w14:paraId="2E23C278" w14:textId="5BCC1B8D" w:rsidR="00E628EF" w:rsidRPr="005D41E6" w:rsidRDefault="00A53B9E" w:rsidP="00CE4D4D">
      <w:r w:rsidRPr="00A53B9E">
        <w:t xml:space="preserve">Modifiers 25 and 27 for outpatient specifically exclude any services that are for office visits, clinic visits, treatment rooms, etc. as these services are not payable under the facility fee schedule. </w:t>
      </w:r>
      <w:r w:rsidR="00E628EF">
        <w:t xml:space="preserve"> </w:t>
      </w:r>
      <w:r w:rsidR="00E628EF" w:rsidRPr="00E628EF">
        <w:t>Refer to the Professional Fee Scheduled for the professional reimbursement.</w:t>
      </w:r>
      <w:bookmarkStart w:id="149" w:name="_Toc414007295"/>
      <w:bookmarkStart w:id="150" w:name="_Toc414007459"/>
      <w:bookmarkStart w:id="151" w:name="_Toc414007608"/>
    </w:p>
    <w:p w14:paraId="2CE84FA9" w14:textId="77777777" w:rsidR="000C7C97" w:rsidRDefault="000C7C97" w:rsidP="00E628EF">
      <w:pPr>
        <w:pStyle w:val="Heading2"/>
        <w:spacing w:before="0" w:after="0"/>
      </w:pPr>
    </w:p>
    <w:p w14:paraId="6744C69B" w14:textId="364B72C4" w:rsidR="006533A8" w:rsidRPr="003942FD" w:rsidRDefault="006533A8" w:rsidP="00E628EF">
      <w:pPr>
        <w:pStyle w:val="Heading2"/>
        <w:spacing w:before="0" w:after="0"/>
      </w:pPr>
      <w:bookmarkStart w:id="152" w:name="_Toc34916611"/>
      <w:r w:rsidRPr="003942FD">
        <w:t>Non-patient Hospital Outpatient Clinical Diagnostic Laboratory Test Payment and Billing</w:t>
      </w:r>
      <w:bookmarkEnd w:id="149"/>
      <w:bookmarkEnd w:id="150"/>
      <w:bookmarkEnd w:id="151"/>
      <w:bookmarkEnd w:id="152"/>
      <w:r w:rsidRPr="003942FD">
        <w:t xml:space="preserve"> </w:t>
      </w:r>
    </w:p>
    <w:p w14:paraId="54841BB2" w14:textId="77777777" w:rsidR="006533A8" w:rsidRPr="0045651F" w:rsidRDefault="006533A8" w:rsidP="006533A8">
      <w:pPr>
        <w:pStyle w:val="Default"/>
        <w:rPr>
          <w:rFonts w:ascii="Times New Roman" w:hAnsi="Times New Roman" w:cs="Times New Roman"/>
        </w:rPr>
      </w:pPr>
    </w:p>
    <w:p w14:paraId="6B277160" w14:textId="43B9B50F" w:rsidR="000B7D5B" w:rsidRDefault="0045651F" w:rsidP="006533A8">
      <w:pPr>
        <w:pStyle w:val="Default"/>
        <w:rPr>
          <w:rFonts w:ascii="Times New Roman" w:hAnsi="Times New Roman" w:cs="Times New Roman"/>
        </w:rPr>
      </w:pPr>
      <w:r>
        <w:rPr>
          <w:rFonts w:ascii="Times New Roman" w:hAnsi="Times New Roman" w:cs="Times New Roman"/>
        </w:rPr>
        <w:t>Using Medicare’s directives, t</w:t>
      </w:r>
      <w:r w:rsidR="006533A8" w:rsidRPr="0045651F">
        <w:rPr>
          <w:rFonts w:ascii="Times New Roman" w:hAnsi="Times New Roman" w:cs="Times New Roman"/>
        </w:rPr>
        <w:t xml:space="preserve">here are limited circumstances described below in which hospitals can separately bill for outpatient diagnostic laboratory tests. For those specific </w:t>
      </w:r>
      <w:r w:rsidR="004B3FB4" w:rsidRPr="0045651F">
        <w:rPr>
          <w:rFonts w:ascii="Times New Roman" w:hAnsi="Times New Roman" w:cs="Times New Roman"/>
        </w:rPr>
        <w:t>situation’s</w:t>
      </w:r>
      <w:r w:rsidR="006533A8" w:rsidRPr="0045651F">
        <w:rPr>
          <w:rFonts w:ascii="Times New Roman" w:hAnsi="Times New Roman" w:cs="Times New Roman"/>
        </w:rPr>
        <w:t xml:space="preserve">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14:paraId="6335576D"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14:paraId="1067CBA4"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14:paraId="78FBFA49" w14:textId="77777777" w:rsidR="009D2D9C" w:rsidRPr="0045651F" w:rsidRDefault="009D2D9C" w:rsidP="006533A8">
      <w:pPr>
        <w:pStyle w:val="Default"/>
        <w:rPr>
          <w:rFonts w:ascii="Times New Roman" w:hAnsi="Times New Roman" w:cs="Times New Roman"/>
        </w:rPr>
      </w:pPr>
    </w:p>
    <w:p w14:paraId="0D70B31C" w14:textId="1F36B9BA" w:rsidR="006533A8"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hospital; </w:t>
      </w:r>
    </w:p>
    <w:p w14:paraId="117FDF34" w14:textId="77777777" w:rsidR="00953CB2" w:rsidRPr="0045651F" w:rsidRDefault="00953CB2" w:rsidP="006533A8">
      <w:pPr>
        <w:pStyle w:val="Default"/>
        <w:rPr>
          <w:rFonts w:ascii="Times New Roman" w:hAnsi="Times New Roman" w:cs="Times New Roman"/>
        </w:rPr>
      </w:pPr>
    </w:p>
    <w:p w14:paraId="3793F9FC"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14:paraId="42EA16F5" w14:textId="77777777" w:rsidR="006533A8" w:rsidRPr="0045651F" w:rsidRDefault="006533A8" w:rsidP="006533A8">
      <w:pPr>
        <w:pStyle w:val="Default"/>
        <w:rPr>
          <w:rFonts w:ascii="Times New Roman" w:hAnsi="Times New Roman" w:cs="Times New Roman"/>
        </w:rPr>
      </w:pPr>
    </w:p>
    <w:p w14:paraId="297F89C0"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14:paraId="1CD44EF0" w14:textId="77777777" w:rsidR="00851A6C" w:rsidRPr="003942FD" w:rsidRDefault="00851A6C" w:rsidP="00723C3A">
      <w:pPr>
        <w:pStyle w:val="Heading2"/>
      </w:pPr>
      <w:bookmarkStart w:id="153" w:name="_Toc414007296"/>
      <w:bookmarkStart w:id="154" w:name="_Toc414007460"/>
      <w:bookmarkStart w:id="155" w:name="_Toc414007609"/>
      <w:bookmarkStart w:id="156" w:name="_Toc34916612"/>
      <w:bookmarkStart w:id="157" w:name="_Hlk5177628"/>
      <w:r w:rsidRPr="003942FD">
        <w:rPr>
          <w:rFonts w:eastAsia="Calibri"/>
        </w:rPr>
        <w:t>Outpatient Fee Schedule J1</w:t>
      </w:r>
      <w:r w:rsidR="00B96CA9">
        <w:rPr>
          <w:rFonts w:eastAsia="Calibri"/>
        </w:rPr>
        <w:t xml:space="preserve">and J2 </w:t>
      </w:r>
      <w:bookmarkEnd w:id="153"/>
      <w:bookmarkEnd w:id="154"/>
      <w:bookmarkEnd w:id="155"/>
      <w:r w:rsidR="000E2E91">
        <w:rPr>
          <w:rFonts w:eastAsia="Calibri"/>
        </w:rPr>
        <w:t>Status Indicator</w:t>
      </w:r>
      <w:bookmarkEnd w:id="156"/>
    </w:p>
    <w:p w14:paraId="17E50BE8" w14:textId="77777777" w:rsidR="00851A6C" w:rsidRPr="00723C3A" w:rsidRDefault="00851A6C" w:rsidP="00723C3A">
      <w:pPr>
        <w:rPr>
          <w:b/>
        </w:rPr>
      </w:pPr>
    </w:p>
    <w:p w14:paraId="49067808" w14:textId="02F5BD2C" w:rsidR="00851A6C" w:rsidRPr="0045651F" w:rsidRDefault="00B0161D" w:rsidP="00851A6C">
      <w:r>
        <w:t xml:space="preserve">J1 </w:t>
      </w:r>
      <w:r w:rsidR="004854E5">
        <w:t xml:space="preserve">and J2 are </w:t>
      </w:r>
      <w:r>
        <w:t>status indicator</w:t>
      </w:r>
      <w:r w:rsidR="004854E5">
        <w:t>s</w:t>
      </w:r>
      <w:r>
        <w:t xml:space="preserve"> that </w:t>
      </w:r>
      <w:r w:rsidR="00851A6C" w:rsidRPr="0045651F">
        <w:t>ha</w:t>
      </w:r>
      <w:r w:rsidR="004854E5">
        <w:t>ve</w:t>
      </w:r>
      <w:r w:rsidR="00851A6C" w:rsidRPr="0045651F">
        <w:t xml:space="preserve"> been added to the HCPCS/CPT Outpatient Fee Schedule.  The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14:paraId="18379FF4" w14:textId="77777777" w:rsidR="00851A6C" w:rsidRPr="0045651F" w:rsidRDefault="00851A6C" w:rsidP="00851A6C"/>
    <w:p w14:paraId="29000D56"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14:paraId="020C70D7"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14:paraId="32519E5B"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Major OPPS procedure codes (status indicators P, S, T, V); </w:t>
      </w:r>
    </w:p>
    <w:p w14:paraId="0034D00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Lower ranked comprehensive procedure codes (status indicator J1); </w:t>
      </w:r>
    </w:p>
    <w:p w14:paraId="051D1AD3" w14:textId="77777777"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14:paraId="489ABD50"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Blood products (status indicator R); </w:t>
      </w:r>
    </w:p>
    <w:p w14:paraId="735D71CC"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14:paraId="4BC83EF6" w14:textId="41584352" w:rsidR="00086520"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r>
    </w:p>
    <w:p w14:paraId="51A2CEF7" w14:textId="77777777"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14:paraId="6DEAAC2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Brachytherapy sources (status indicator U); </w:t>
      </w:r>
    </w:p>
    <w:p w14:paraId="5EDB2683" w14:textId="77777777"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r w:rsidRPr="00A0360F">
        <w:rPr>
          <w:rFonts w:ascii="Times New Roman" w:hAnsi="Times New Roman" w:cs="Times New Roman"/>
          <w:color w:val="auto"/>
        </w:rPr>
        <w:t xml:space="preserve">; </w:t>
      </w:r>
    </w:p>
    <w:p w14:paraId="18616169"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Corneal tissue, CRNA services, and Hepatitis B vaccinations (status indicator F); </w:t>
      </w:r>
    </w:p>
    <w:p w14:paraId="6AE2A93F"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Influenza and pneumococcal pneumonia vaccine services (status indicator L); </w:t>
      </w:r>
    </w:p>
    <w:p w14:paraId="1483C742"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Ambulance services; </w:t>
      </w:r>
    </w:p>
    <w:p w14:paraId="1E7FDBB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14:paraId="2A1C9974" w14:textId="77777777"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14:paraId="2637C3CB" w14:textId="77777777" w:rsidR="008B1B18" w:rsidRDefault="008B1B18" w:rsidP="008B1B18">
      <w:pPr>
        <w:pStyle w:val="Default"/>
        <w:rPr>
          <w:rFonts w:ascii="Times New Roman" w:hAnsi="Times New Roman" w:cs="Times New Roman"/>
        </w:rPr>
      </w:pPr>
    </w:p>
    <w:p w14:paraId="445F159E" w14:textId="77777777" w:rsidR="00851A6C" w:rsidRPr="00723C3A" w:rsidRDefault="00851A6C" w:rsidP="00851A6C">
      <w:pPr>
        <w:pStyle w:val="Default"/>
        <w:rPr>
          <w:rFonts w:ascii="Times New Roman" w:hAnsi="Times New Roman" w:cs="Times New Roman"/>
        </w:rPr>
      </w:pPr>
    </w:p>
    <w:p w14:paraId="0ECD2432" w14:textId="77777777"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14:paraId="6EF244D0" w14:textId="77777777" w:rsidR="00E61719" w:rsidRDefault="00E61719" w:rsidP="00723C3A">
      <w:pPr>
        <w:pStyle w:val="Default"/>
        <w:rPr>
          <w:rFonts w:ascii="Times New Roman" w:hAnsi="Times New Roman" w:cs="Times New Roman"/>
        </w:rPr>
      </w:pPr>
    </w:p>
    <w:p w14:paraId="5F46D7AC" w14:textId="1B2596A7" w:rsidR="00E61719" w:rsidRDefault="00E61719" w:rsidP="00E61719">
      <w:pPr>
        <w:pStyle w:val="Default"/>
        <w:rPr>
          <w:rFonts w:ascii="Times New Roman" w:hAnsi="Times New Roman" w:cs="Times New Roman"/>
        </w:rPr>
      </w:pPr>
      <w:r>
        <w:rPr>
          <w:rFonts w:ascii="Times New Roman" w:hAnsi="Times New Roman" w:cs="Times New Roman"/>
        </w:rPr>
        <w:t xml:space="preserve">The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14:paraId="0C1152BF" w14:textId="5BBD16C2" w:rsidR="00E80169" w:rsidRDefault="00E80169" w:rsidP="00E61719">
      <w:pPr>
        <w:pStyle w:val="Default"/>
        <w:rPr>
          <w:rFonts w:ascii="Times New Roman" w:hAnsi="Times New Roman" w:cs="Times New Roman"/>
        </w:rPr>
      </w:pPr>
    </w:p>
    <w:p w14:paraId="001EFC3A" w14:textId="77777777" w:rsidR="00E80169" w:rsidRDefault="00E80169" w:rsidP="00E61719">
      <w:pPr>
        <w:pStyle w:val="Default"/>
        <w:rPr>
          <w:rFonts w:ascii="Times New Roman" w:hAnsi="Times New Roman" w:cs="Times New Roman"/>
        </w:rPr>
      </w:pPr>
    </w:p>
    <w:p w14:paraId="39382572" w14:textId="77777777"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14:paraId="3A014E6C" w14:textId="77777777" w:rsidR="00401F59" w:rsidRPr="00401F59" w:rsidRDefault="00401F59" w:rsidP="000B7D5B"/>
    <w:p w14:paraId="5F2A4E10" w14:textId="47EFB930" w:rsidR="00493DBD" w:rsidRDefault="00493DBD" w:rsidP="000B7D5B">
      <w:r>
        <w:t>When determining payment for a claim that has two or</w:t>
      </w:r>
      <w:r w:rsidR="00BE56ED">
        <w:t xml:space="preserve"> more</w:t>
      </w:r>
      <w:r>
        <w:t xml:space="preserve"> CPT/HCPCS codes with a J1 status indicator use Montana Addendum B and the following steps</w:t>
      </w:r>
      <w:r w:rsidR="00401F59">
        <w:t xml:space="preserve"> for those claims that qualify for complexity reimbursement</w:t>
      </w:r>
      <w:r>
        <w:t>:</w:t>
      </w:r>
    </w:p>
    <w:p w14:paraId="7501AAEE" w14:textId="77777777" w:rsidR="00493DBD" w:rsidRDefault="00493DBD" w:rsidP="00493DBD">
      <w:pPr>
        <w:ind w:left="720"/>
      </w:pPr>
      <w:r>
        <w:t>1.  Identify the CPT/HCPCS codes on the claim with J1 status indicators found in Montana’s Addendum B.</w:t>
      </w:r>
    </w:p>
    <w:p w14:paraId="5C07549C" w14:textId="5EA0F233" w:rsidR="00493DBD" w:rsidRDefault="00493DBD" w:rsidP="00493DBD">
      <w:pPr>
        <w:ind w:left="720"/>
      </w:pPr>
      <w:r>
        <w:t xml:space="preserve">2.  Look up each CPT/HCPCS code in the HCPCS Code Ranking table.  Write it </w:t>
      </w:r>
      <w:r w:rsidR="00252415">
        <w:t>down) or</w:t>
      </w:r>
      <w:r>
        <w:t xml:space="preserve"> remember) the </w:t>
      </w:r>
      <w:r w:rsidR="007F6F38">
        <w:t>value</w:t>
      </w:r>
      <w:r>
        <w:t xml:space="preserve"> found in the column “Rank used for Primary Assignment” column.</w:t>
      </w:r>
    </w:p>
    <w:p w14:paraId="2045D118" w14:textId="77777777" w:rsidR="00493DBD" w:rsidRDefault="00493DBD" w:rsidP="00493DBD">
      <w:pPr>
        <w:ind w:left="720"/>
      </w:pPr>
      <w:r>
        <w:t>3.  The lowest rank will be the primary code on the claim.  All others will be secondary codes.</w:t>
      </w:r>
    </w:p>
    <w:p w14:paraId="31735931" w14:textId="77777777"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14:paraId="31316D9D" w14:textId="77777777" w:rsidR="001E2A7E" w:rsidRDefault="001E2A7E" w:rsidP="00493DBD">
      <w:pPr>
        <w:ind w:left="720"/>
      </w:pPr>
      <w:r>
        <w:t>5.  If the code pair is not found, check any other primary/secondary code pairs on the claim.  If none are present, no complexity adjustment is made</w:t>
      </w:r>
    </w:p>
    <w:p w14:paraId="5046FE72" w14:textId="77777777" w:rsidR="001E2A7E" w:rsidRPr="00493DBD" w:rsidRDefault="001E2A7E" w:rsidP="00493DBD">
      <w:pPr>
        <w:ind w:left="720"/>
      </w:pPr>
      <w:r>
        <w:t>6.  If the primary/secondary combination is present, the hospital or ASC column will show the appropriate Montana complexity adjusted payment.</w:t>
      </w:r>
    </w:p>
    <w:p w14:paraId="4E9C3028" w14:textId="77777777" w:rsidR="000B7D5B" w:rsidRDefault="000B7D5B" w:rsidP="00E61719">
      <w:pPr>
        <w:pStyle w:val="Default"/>
        <w:rPr>
          <w:rFonts w:ascii="Times New Roman" w:hAnsi="Times New Roman" w:cs="Times New Roman"/>
        </w:rPr>
      </w:pPr>
    </w:p>
    <w:p w14:paraId="58F05914" w14:textId="77777777" w:rsidR="00A134D8" w:rsidRPr="003E2FCE" w:rsidRDefault="00A134D8" w:rsidP="00A134D8">
      <w:pPr>
        <w:pStyle w:val="Heading2"/>
      </w:pPr>
      <w:bookmarkStart w:id="158" w:name="_Toc353172304"/>
      <w:bookmarkStart w:id="159" w:name="_Toc414007297"/>
      <w:bookmarkStart w:id="160" w:name="_Toc414007461"/>
      <w:bookmarkStart w:id="161" w:name="_Toc414007610"/>
      <w:bookmarkStart w:id="162" w:name="_Toc34916613"/>
      <w:bookmarkStart w:id="163" w:name="_Toc353172308"/>
      <w:bookmarkStart w:id="164" w:name="_Toc353172310"/>
      <w:bookmarkEnd w:id="157"/>
      <w:r w:rsidRPr="00723C3A">
        <w:t>Outpatient Reimbursement</w:t>
      </w:r>
      <w:bookmarkEnd w:id="158"/>
      <w:bookmarkEnd w:id="159"/>
      <w:bookmarkEnd w:id="160"/>
      <w:bookmarkEnd w:id="161"/>
      <w:bookmarkEnd w:id="162"/>
    </w:p>
    <w:p w14:paraId="17963959" w14:textId="77777777"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14:paraId="7922C014" w14:textId="77777777" w:rsidR="00E438D9" w:rsidRDefault="00E438D9" w:rsidP="00A134D8"/>
    <w:p w14:paraId="452FBAAC" w14:textId="374BAF04"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minutes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unit</w:t>
      </w:r>
      <w:r w:rsidR="00F07942">
        <w:rPr>
          <w:rFonts w:ascii="Times New Roman" w:hAnsi="Times New Roman" w:cs="Times New Roman"/>
        </w:rPr>
        <w:t>s</w:t>
      </w:r>
      <w:r w:rsidR="00402FBE">
        <w:rPr>
          <w:rFonts w:ascii="Times New Roman" w:hAnsi="Times New Roman" w:cs="Times New Roman"/>
        </w:rPr>
        <w:t xml:space="preserve">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passive 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14:paraId="5319389E" w14:textId="77777777" w:rsidR="00402FBE" w:rsidRDefault="00402FBE" w:rsidP="004915F3">
      <w:pPr>
        <w:autoSpaceDE w:val="0"/>
        <w:autoSpaceDN w:val="0"/>
        <w:adjustRightInd w:val="0"/>
        <w:rPr>
          <w:spacing w:val="1"/>
        </w:rPr>
      </w:pPr>
    </w:p>
    <w:p w14:paraId="099DE0F7" w14:textId="7A8A1DBC"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E80169">
        <w:rPr>
          <w:spacing w:val="1"/>
        </w:rPr>
        <w:t>one-unit</w:t>
      </w:r>
      <w:r w:rsidR="004915F3">
        <w:rPr>
          <w:spacing w:val="1"/>
        </w:rPr>
        <w:t xml:space="preserve"> </w:t>
      </w:r>
      <w:r>
        <w:rPr>
          <w:spacing w:val="1"/>
        </w:rPr>
        <w:t xml:space="preserve">limitation </w:t>
      </w:r>
      <w:r w:rsidR="004915F3">
        <w:rPr>
          <w:spacing w:val="1"/>
        </w:rPr>
        <w:t xml:space="preserve">for a passive modality.  </w:t>
      </w:r>
    </w:p>
    <w:p w14:paraId="08CC15DC" w14:textId="77777777" w:rsidR="004915F3" w:rsidRDefault="004915F3" w:rsidP="004915F3">
      <w:pPr>
        <w:widowControl w:val="0"/>
        <w:tabs>
          <w:tab w:val="left" w:pos="360"/>
        </w:tabs>
        <w:autoSpaceDE w:val="0"/>
        <w:autoSpaceDN w:val="0"/>
        <w:ind w:right="72"/>
        <w:contextualSpacing/>
        <w:rPr>
          <w:spacing w:val="1"/>
        </w:rPr>
      </w:pPr>
    </w:p>
    <w:p w14:paraId="186F6042" w14:textId="77777777"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14:paraId="03CC7476" w14:textId="77777777" w:rsidR="004915F3" w:rsidRDefault="004915F3" w:rsidP="004915F3">
      <w:pPr>
        <w:widowControl w:val="0"/>
        <w:tabs>
          <w:tab w:val="left" w:pos="360"/>
        </w:tabs>
        <w:autoSpaceDE w:val="0"/>
        <w:autoSpaceDN w:val="0"/>
        <w:ind w:right="72"/>
        <w:contextualSpacing/>
        <w:rPr>
          <w:b/>
          <w:bCs/>
          <w:spacing w:val="-3"/>
        </w:rPr>
      </w:pPr>
    </w:p>
    <w:p w14:paraId="559C73FC" w14:textId="6277EB81"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CPT code 97750 for the Functional Capacity Exam which is a special report is not considered an active therapy, passive therapy or a passive modality.</w:t>
      </w:r>
      <w:r w:rsidR="006224F8" w:rsidRPr="00402FBE">
        <w:rPr>
          <w:rFonts w:ascii="Times New Roman" w:hAnsi="Times New Roman" w:cs="Times New Roman"/>
          <w:spacing w:val="1"/>
        </w:rPr>
        <w:t xml:space="preserve"> </w:t>
      </w:r>
      <w:r w:rsidR="00F97CB9">
        <w:rPr>
          <w:rFonts w:ascii="Times New Roman" w:hAnsi="Times New Roman" w:cs="Times New Roman"/>
          <w:spacing w:val="1"/>
        </w:rPr>
        <w:t xml:space="preserve">This code </w:t>
      </w:r>
      <w:r w:rsidR="00EE0B78">
        <w:rPr>
          <w:rFonts w:ascii="Times New Roman" w:hAnsi="Times New Roman" w:cs="Times New Roman"/>
          <w:spacing w:val="1"/>
        </w:rPr>
        <w:t>is not limited to 8 units.</w:t>
      </w:r>
    </w:p>
    <w:p w14:paraId="6E1A6F53" w14:textId="77777777" w:rsidR="002453AB" w:rsidRDefault="002453AB" w:rsidP="00402FBE">
      <w:pPr>
        <w:pStyle w:val="Default"/>
        <w:rPr>
          <w:rFonts w:ascii="Times New Roman" w:hAnsi="Times New Roman" w:cs="Times New Roman"/>
          <w:spacing w:val="1"/>
        </w:rPr>
      </w:pPr>
    </w:p>
    <w:p w14:paraId="072DA8C2" w14:textId="74850909" w:rsidR="002453AB" w:rsidRPr="007052B7" w:rsidRDefault="002453AB" w:rsidP="00402FBE">
      <w:pPr>
        <w:pStyle w:val="Default"/>
        <w:rPr>
          <w:rFonts w:ascii="Times New Roman" w:hAnsi="Times New Roman" w:cs="Times New Roman"/>
          <w:strike/>
          <w:color w:val="auto"/>
          <w:spacing w:val="1"/>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w:t>
      </w:r>
      <w:r w:rsidR="00B26227" w:rsidRPr="00B26227">
        <w:rPr>
          <w:rFonts w:ascii="Times New Roman" w:hAnsi="Times New Roman" w:cs="Times New Roman"/>
          <w:color w:val="auto"/>
          <w:spacing w:val="1"/>
        </w:rPr>
        <w:t>s.</w:t>
      </w:r>
    </w:p>
    <w:p w14:paraId="31ED62B8" w14:textId="77777777" w:rsidR="002E7DBE" w:rsidRPr="002E7DBE" w:rsidRDefault="002E7DBE" w:rsidP="00AB7F5E">
      <w:pPr>
        <w:pStyle w:val="Default"/>
        <w:rPr>
          <w:rFonts w:ascii="Times New Roman" w:hAnsi="Times New Roman" w:cs="Times New Roman"/>
          <w:color w:val="FF0000"/>
        </w:rPr>
      </w:pPr>
    </w:p>
    <w:p w14:paraId="37FE8C39" w14:textId="77777777" w:rsidR="00A134D8" w:rsidRPr="003E2FCE" w:rsidRDefault="00A134D8" w:rsidP="00A134D8">
      <w:pPr>
        <w:pStyle w:val="Heading2"/>
      </w:pPr>
      <w:bookmarkStart w:id="165" w:name="_Toc414007298"/>
      <w:bookmarkStart w:id="166" w:name="_Toc414007462"/>
      <w:bookmarkStart w:id="167" w:name="_Toc414007611"/>
      <w:bookmarkStart w:id="168" w:name="_Toc34916614"/>
      <w:r w:rsidRPr="003E2FCE">
        <w:t>APC Reimbursement Levels</w:t>
      </w:r>
      <w:bookmarkEnd w:id="163"/>
      <w:bookmarkEnd w:id="165"/>
      <w:bookmarkEnd w:id="166"/>
      <w:bookmarkEnd w:id="167"/>
      <w:bookmarkEnd w:id="168"/>
      <w:r w:rsidRPr="003E2FCE">
        <w:t xml:space="preserve"> </w:t>
      </w:r>
    </w:p>
    <w:p w14:paraId="3B56257F" w14:textId="77777777"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14:paraId="72E95B37" w14:textId="311C0947" w:rsidR="00A134D8" w:rsidRPr="00B51222" w:rsidRDefault="00A134D8" w:rsidP="00A134D8">
      <w:r w:rsidRPr="003E2FCE">
        <w:tab/>
      </w:r>
      <w:r w:rsidRPr="00B51222">
        <w:t>Hospital outpatient base r</w:t>
      </w:r>
      <w:r w:rsidR="00402FBE" w:rsidRPr="00B51222">
        <w:t xml:space="preserve">ate effective </w:t>
      </w:r>
      <w:r w:rsidR="00B51222">
        <w:t>July 1, 2023</w:t>
      </w:r>
      <w:r w:rsidR="001754DD" w:rsidRPr="00B51222">
        <w:tab/>
      </w:r>
      <w:r w:rsidRPr="00B51222">
        <w:tab/>
      </w:r>
      <w:r w:rsidR="00A43F3B" w:rsidRPr="00B51222">
        <w:t>$</w:t>
      </w:r>
      <w:r w:rsidR="00CE2F2C" w:rsidRPr="00B51222">
        <w:t>130.00</w:t>
      </w:r>
    </w:p>
    <w:p w14:paraId="7D5D4443" w14:textId="25016ED7" w:rsidR="00A134D8" w:rsidRPr="00B51222" w:rsidRDefault="00A134D8" w:rsidP="00A134D8">
      <w:r w:rsidRPr="00B51222">
        <w:tab/>
        <w:t>ASC base r</w:t>
      </w:r>
      <w:r w:rsidR="00402FBE" w:rsidRPr="00B51222">
        <w:t xml:space="preserve">ate effective </w:t>
      </w:r>
      <w:r w:rsidR="00B51222">
        <w:t>Ju.y 2023</w:t>
      </w:r>
      <w:r w:rsidRPr="00B51222">
        <w:tab/>
      </w:r>
      <w:r w:rsidR="00E04BD5" w:rsidRPr="00B51222">
        <w:tab/>
      </w:r>
      <w:r w:rsidR="00E04BD5" w:rsidRPr="00B51222">
        <w:tab/>
      </w:r>
      <w:r w:rsidR="00B26227" w:rsidRPr="00B51222">
        <w:tab/>
      </w:r>
      <w:r w:rsidR="004F31F6" w:rsidRPr="00B51222">
        <w:t>$98.00</w:t>
      </w:r>
    </w:p>
    <w:p w14:paraId="7E10C522" w14:textId="77777777" w:rsidR="00A134D8" w:rsidRPr="003E2FCE" w:rsidRDefault="00A134D8" w:rsidP="00A134D8">
      <w:pPr>
        <w:pStyle w:val="Heading2"/>
      </w:pPr>
      <w:bookmarkStart w:id="169" w:name="_Toc414007299"/>
      <w:bookmarkStart w:id="170" w:name="_Toc414007463"/>
      <w:bookmarkStart w:id="171" w:name="_Toc414007612"/>
      <w:bookmarkStart w:id="172" w:name="_Toc34916615"/>
      <w:r w:rsidRPr="003E2FCE">
        <w:t>Outpatient Implants</w:t>
      </w:r>
      <w:bookmarkEnd w:id="164"/>
      <w:bookmarkEnd w:id="169"/>
      <w:bookmarkEnd w:id="170"/>
      <w:bookmarkEnd w:id="171"/>
      <w:bookmarkEnd w:id="172"/>
      <w:r w:rsidRPr="003E2FCE">
        <w:t xml:space="preserve"> </w:t>
      </w:r>
      <w:r w:rsidR="00E04BD5">
        <w:tab/>
      </w:r>
    </w:p>
    <w:p w14:paraId="6467A0DC" w14:textId="77777777"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14:paraId="76930D55" w14:textId="77777777" w:rsidR="001C03AD" w:rsidRDefault="001C03AD" w:rsidP="001C03AD">
      <w:pPr>
        <w:ind w:left="360"/>
      </w:pPr>
    </w:p>
    <w:p w14:paraId="027367ED" w14:textId="7CA0B2FC"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w:t>
      </w:r>
      <w:r w:rsidR="00252415">
        <w:t>are</w:t>
      </w:r>
      <w:r w:rsidRPr="003E2FCE">
        <w:t xml:space="preserve"> bundled into </w:t>
      </w:r>
      <w:r w:rsidR="004A0C78" w:rsidRPr="003E2FCE">
        <w:t xml:space="preserve">the </w:t>
      </w:r>
      <w:r w:rsidR="004A0C78">
        <w:t xml:space="preserve">outpatient </w:t>
      </w:r>
      <w:r w:rsidRPr="003E2FCE">
        <w:t>reimbursement</w:t>
      </w:r>
      <w:r w:rsidR="004854E5">
        <w:t xml:space="preserve"> and do not require invoices for payment</w:t>
      </w:r>
      <w:r w:rsidRPr="003E2FCE">
        <w:t>.</w:t>
      </w:r>
      <w:r w:rsidR="00163238">
        <w:t xml:space="preserve">  The surgical notes should be sufficient for reimbursement determinations.</w:t>
      </w:r>
    </w:p>
    <w:p w14:paraId="20668DE5" w14:textId="22F66203"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r w:rsidR="00F00F5A">
        <w:t xml:space="preserve"> if billed using MT003</w:t>
      </w:r>
    </w:p>
    <w:p w14:paraId="195E56C6" w14:textId="77777777"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14:paraId="5333A679" w14:textId="77777777"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14:paraId="7F8640CD" w14:textId="28D41849" w:rsidR="00A134D8"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p w14:paraId="6BB46249" w14:textId="022B8C73" w:rsidR="00B91493" w:rsidRDefault="00B91493" w:rsidP="00B91493"/>
    <w:p w14:paraId="5BB7CA0E" w14:textId="34CF505C" w:rsidR="00B91493" w:rsidRDefault="00B91493" w:rsidP="00B91493"/>
    <w:p w14:paraId="104A98AA" w14:textId="573DFAB8" w:rsidR="00B91493" w:rsidRDefault="00B91493" w:rsidP="00B91493">
      <w:pPr>
        <w:rPr>
          <w:rFonts w:asciiTheme="majorHAnsi" w:hAnsiTheme="majorHAnsi"/>
          <w:sz w:val="28"/>
          <w:szCs w:val="28"/>
        </w:rPr>
      </w:pPr>
    </w:p>
    <w:p w14:paraId="7FC84B31" w14:textId="41F99BA6" w:rsidR="00B91493" w:rsidRDefault="00B91493" w:rsidP="00B91493">
      <w:pPr>
        <w:rPr>
          <w:rFonts w:asciiTheme="majorHAnsi" w:hAnsiTheme="majorHAnsi"/>
          <w:sz w:val="28"/>
          <w:szCs w:val="28"/>
        </w:rPr>
      </w:pPr>
    </w:p>
    <w:p w14:paraId="1FD50B18" w14:textId="4B175EC0" w:rsidR="00B91493" w:rsidRDefault="00B91493" w:rsidP="00B91493">
      <w:pPr>
        <w:rPr>
          <w:rFonts w:asciiTheme="majorHAnsi" w:hAnsiTheme="majorHAnsi"/>
          <w:sz w:val="28"/>
          <w:szCs w:val="28"/>
        </w:rPr>
      </w:pPr>
    </w:p>
    <w:p w14:paraId="5A9ACD15" w14:textId="77777777" w:rsidR="00B91493" w:rsidRDefault="00B91493" w:rsidP="00B91493">
      <w:pPr>
        <w:rPr>
          <w:rFonts w:asciiTheme="majorHAnsi" w:hAnsiTheme="majorHAnsi"/>
          <w:sz w:val="28"/>
          <w:szCs w:val="28"/>
        </w:rPr>
      </w:pPr>
    </w:p>
    <w:p w14:paraId="24D1B2F4" w14:textId="1BCAF5D6" w:rsidR="00B91493" w:rsidRDefault="00B91493" w:rsidP="00B91493">
      <w:pPr>
        <w:rPr>
          <w:rFonts w:asciiTheme="majorHAnsi" w:hAnsiTheme="majorHAnsi"/>
          <w:sz w:val="28"/>
          <w:szCs w:val="28"/>
        </w:rPr>
      </w:pPr>
    </w:p>
    <w:p w14:paraId="5445D940" w14:textId="7FBA7697" w:rsidR="00B91493" w:rsidRDefault="00B91493" w:rsidP="00B91493">
      <w:pPr>
        <w:rPr>
          <w:rFonts w:asciiTheme="majorHAnsi" w:hAnsiTheme="majorHAnsi"/>
          <w:b/>
          <w:bCs/>
          <w:i/>
          <w:iCs/>
          <w:sz w:val="28"/>
          <w:szCs w:val="28"/>
        </w:rPr>
      </w:pPr>
      <w:r>
        <w:rPr>
          <w:rFonts w:asciiTheme="majorHAnsi" w:hAnsiTheme="majorHAnsi"/>
          <w:b/>
          <w:bCs/>
          <w:i/>
          <w:iCs/>
          <w:sz w:val="28"/>
          <w:szCs w:val="28"/>
        </w:rPr>
        <w:t>Historical Base Rates and Conversion Factors</w:t>
      </w:r>
    </w:p>
    <w:p w14:paraId="2F648880" w14:textId="77777777" w:rsidR="00B91493" w:rsidRDefault="00B91493" w:rsidP="00B91493">
      <w:pPr>
        <w:rPr>
          <w:rFonts w:asciiTheme="majorHAnsi" w:hAnsiTheme="majorHAnsi"/>
          <w:b/>
          <w:bCs/>
          <w:i/>
          <w:iCs/>
          <w:sz w:val="28"/>
          <w:szCs w:val="28"/>
        </w:rPr>
      </w:pPr>
    </w:p>
    <w:tbl>
      <w:tblPr>
        <w:tblStyle w:val="TableGrid"/>
        <w:tblW w:w="0" w:type="auto"/>
        <w:tblLook w:val="04A0" w:firstRow="1" w:lastRow="0" w:firstColumn="1" w:lastColumn="0" w:noHBand="0" w:noVBand="1"/>
      </w:tblPr>
      <w:tblGrid>
        <w:gridCol w:w="653"/>
        <w:gridCol w:w="2410"/>
        <w:gridCol w:w="1403"/>
        <w:gridCol w:w="1643"/>
        <w:gridCol w:w="781"/>
        <w:gridCol w:w="1590"/>
        <w:gridCol w:w="1590"/>
      </w:tblGrid>
      <w:tr w:rsidR="00B91493" w14:paraId="435E5BF8" w14:textId="77777777" w:rsidTr="00D26DB8">
        <w:tc>
          <w:tcPr>
            <w:tcW w:w="662" w:type="dxa"/>
            <w:tcBorders>
              <w:right w:val="nil"/>
            </w:tcBorders>
          </w:tcPr>
          <w:p w14:paraId="63BC0096" w14:textId="77777777" w:rsidR="00B91493" w:rsidRDefault="00B91493" w:rsidP="00D26DB8"/>
        </w:tc>
        <w:tc>
          <w:tcPr>
            <w:tcW w:w="2753" w:type="dxa"/>
            <w:tcBorders>
              <w:left w:val="nil"/>
            </w:tcBorders>
          </w:tcPr>
          <w:p w14:paraId="3E6F6CFC" w14:textId="77777777" w:rsidR="00B91493" w:rsidRDefault="00B91493" w:rsidP="00D26DB8"/>
        </w:tc>
        <w:tc>
          <w:tcPr>
            <w:tcW w:w="3249" w:type="dxa"/>
            <w:gridSpan w:val="3"/>
            <w:vAlign w:val="bottom"/>
          </w:tcPr>
          <w:p w14:paraId="53B4C800" w14:textId="77777777" w:rsidR="00B91493" w:rsidRPr="00EB2A92" w:rsidRDefault="00B91493" w:rsidP="00D26DB8">
            <w:pPr>
              <w:jc w:val="center"/>
              <w:rPr>
                <w:rFonts w:ascii="Arial" w:hAnsi="Arial" w:cs="Arial"/>
                <w:b/>
                <w:bCs/>
                <w:sz w:val="18"/>
                <w:szCs w:val="18"/>
              </w:rPr>
            </w:pPr>
            <w:r w:rsidRPr="00EB2A92">
              <w:rPr>
                <w:rFonts w:ascii="Arial" w:hAnsi="Arial" w:cs="Arial"/>
                <w:b/>
                <w:bCs/>
                <w:sz w:val="18"/>
                <w:szCs w:val="18"/>
              </w:rPr>
              <w:t>BASE RATES</w:t>
            </w:r>
          </w:p>
        </w:tc>
        <w:tc>
          <w:tcPr>
            <w:tcW w:w="2686" w:type="dxa"/>
            <w:gridSpan w:val="2"/>
            <w:vAlign w:val="bottom"/>
          </w:tcPr>
          <w:p w14:paraId="59699AA4" w14:textId="77777777" w:rsidR="00B91493" w:rsidRPr="00EB2A92" w:rsidRDefault="00B91493" w:rsidP="00D26DB8">
            <w:pPr>
              <w:jc w:val="center"/>
              <w:rPr>
                <w:rFonts w:ascii="Arial" w:hAnsi="Arial" w:cs="Arial"/>
                <w:b/>
                <w:bCs/>
                <w:sz w:val="18"/>
                <w:szCs w:val="18"/>
              </w:rPr>
            </w:pPr>
            <w:r>
              <w:rPr>
                <w:rFonts w:ascii="Arial" w:hAnsi="Arial" w:cs="Arial"/>
                <w:b/>
                <w:bCs/>
                <w:sz w:val="18"/>
                <w:szCs w:val="18"/>
              </w:rPr>
              <w:t>CONVERSION FACTORS</w:t>
            </w:r>
          </w:p>
        </w:tc>
      </w:tr>
      <w:tr w:rsidR="00B91493" w14:paraId="30B51439" w14:textId="77777777" w:rsidTr="00D26DB8">
        <w:tc>
          <w:tcPr>
            <w:tcW w:w="662" w:type="dxa"/>
            <w:vAlign w:val="bottom"/>
          </w:tcPr>
          <w:p w14:paraId="15FB237F" w14:textId="77777777" w:rsidR="00B91493" w:rsidRPr="00EB2A92" w:rsidRDefault="00B91493" w:rsidP="00D26DB8">
            <w:pPr>
              <w:jc w:val="center"/>
              <w:rPr>
                <w:i/>
                <w:iCs/>
              </w:rPr>
            </w:pPr>
            <w:r>
              <w:rPr>
                <w:i/>
                <w:iCs/>
              </w:rPr>
              <w:t>FY</w:t>
            </w:r>
          </w:p>
        </w:tc>
        <w:tc>
          <w:tcPr>
            <w:tcW w:w="2753" w:type="dxa"/>
            <w:vAlign w:val="bottom"/>
          </w:tcPr>
          <w:p w14:paraId="5E8D6FEA" w14:textId="77777777" w:rsidR="00B91493" w:rsidRPr="00EB2A92" w:rsidRDefault="00B91493" w:rsidP="00D26DB8">
            <w:pPr>
              <w:jc w:val="center"/>
              <w:rPr>
                <w:i/>
                <w:iCs/>
              </w:rPr>
            </w:pPr>
            <w:r>
              <w:rPr>
                <w:i/>
                <w:iCs/>
              </w:rPr>
              <w:t>RANGE</w:t>
            </w:r>
          </w:p>
        </w:tc>
        <w:tc>
          <w:tcPr>
            <w:tcW w:w="1066" w:type="dxa"/>
            <w:vAlign w:val="bottom"/>
          </w:tcPr>
          <w:p w14:paraId="730B475C" w14:textId="77777777" w:rsidR="00B91493" w:rsidRPr="00EB2A92" w:rsidRDefault="00B91493" w:rsidP="00D26DB8">
            <w:pPr>
              <w:jc w:val="center"/>
              <w:rPr>
                <w:i/>
                <w:iCs/>
              </w:rPr>
            </w:pPr>
            <w:r w:rsidRPr="00EB2A92">
              <w:rPr>
                <w:i/>
                <w:iCs/>
              </w:rPr>
              <w:t>INPATIENT</w:t>
            </w:r>
          </w:p>
        </w:tc>
        <w:tc>
          <w:tcPr>
            <w:tcW w:w="1369" w:type="dxa"/>
            <w:vAlign w:val="bottom"/>
          </w:tcPr>
          <w:p w14:paraId="12BD8F15" w14:textId="77777777" w:rsidR="00B91493" w:rsidRPr="00EB2A92" w:rsidRDefault="00B91493" w:rsidP="00D26DB8">
            <w:pPr>
              <w:jc w:val="center"/>
              <w:rPr>
                <w:i/>
                <w:iCs/>
              </w:rPr>
            </w:pPr>
            <w:r>
              <w:rPr>
                <w:i/>
                <w:iCs/>
              </w:rPr>
              <w:t>OUTPATIENT</w:t>
            </w:r>
          </w:p>
        </w:tc>
        <w:tc>
          <w:tcPr>
            <w:tcW w:w="814" w:type="dxa"/>
            <w:vAlign w:val="bottom"/>
          </w:tcPr>
          <w:p w14:paraId="0D26D972" w14:textId="77777777" w:rsidR="00B91493" w:rsidRPr="00EB2A92" w:rsidRDefault="00B91493" w:rsidP="00D26DB8">
            <w:pPr>
              <w:jc w:val="center"/>
              <w:rPr>
                <w:i/>
                <w:iCs/>
              </w:rPr>
            </w:pPr>
            <w:r>
              <w:rPr>
                <w:i/>
                <w:iCs/>
              </w:rPr>
              <w:t>ASC</w:t>
            </w:r>
          </w:p>
        </w:tc>
        <w:tc>
          <w:tcPr>
            <w:tcW w:w="1360" w:type="dxa"/>
            <w:vAlign w:val="bottom"/>
          </w:tcPr>
          <w:p w14:paraId="2670A276" w14:textId="77777777" w:rsidR="00B91493" w:rsidRPr="00EB2A92" w:rsidRDefault="00B91493" w:rsidP="00D26DB8">
            <w:pPr>
              <w:rPr>
                <w:i/>
                <w:iCs/>
              </w:rPr>
            </w:pPr>
            <w:r w:rsidRPr="00EB2A92">
              <w:rPr>
                <w:i/>
                <w:iCs/>
              </w:rPr>
              <w:t>OTHER THAN ANESTHESIA</w:t>
            </w:r>
          </w:p>
        </w:tc>
        <w:tc>
          <w:tcPr>
            <w:tcW w:w="1326" w:type="dxa"/>
            <w:vAlign w:val="bottom"/>
          </w:tcPr>
          <w:p w14:paraId="4A155D9C" w14:textId="77777777" w:rsidR="00B91493" w:rsidRPr="00EB2A92" w:rsidRDefault="00B91493" w:rsidP="00D26DB8">
            <w:pPr>
              <w:rPr>
                <w:i/>
                <w:iCs/>
              </w:rPr>
            </w:pPr>
            <w:r w:rsidRPr="00EB2A92">
              <w:rPr>
                <w:i/>
                <w:iCs/>
              </w:rPr>
              <w:t>ANESTHESIA</w:t>
            </w:r>
          </w:p>
        </w:tc>
      </w:tr>
      <w:tr w:rsidR="00B91493" w:rsidRPr="001853DF" w14:paraId="7C7D59E0" w14:textId="77777777" w:rsidTr="00D26DB8">
        <w:trPr>
          <w:trHeight w:val="432"/>
        </w:trPr>
        <w:tc>
          <w:tcPr>
            <w:tcW w:w="662" w:type="dxa"/>
            <w:shd w:val="clear" w:color="auto" w:fill="F2F2F2" w:themeFill="background1" w:themeFillShade="F2"/>
            <w:vAlign w:val="bottom"/>
          </w:tcPr>
          <w:p w14:paraId="2DD58D6C" w14:textId="77777777" w:rsidR="00B91493" w:rsidRPr="001C4347" w:rsidRDefault="00B91493" w:rsidP="00D26DB8">
            <w:pPr>
              <w:rPr>
                <w:rFonts w:ascii="Arial" w:hAnsi="Arial" w:cs="Arial"/>
                <w:sz w:val="18"/>
                <w:szCs w:val="18"/>
              </w:rPr>
            </w:pPr>
            <w:r w:rsidRPr="001C4347">
              <w:rPr>
                <w:rFonts w:ascii="Arial" w:hAnsi="Arial" w:cs="Arial"/>
                <w:sz w:val="18"/>
                <w:szCs w:val="18"/>
              </w:rPr>
              <w:t>2014</w:t>
            </w:r>
          </w:p>
        </w:tc>
        <w:tc>
          <w:tcPr>
            <w:tcW w:w="2753" w:type="dxa"/>
            <w:shd w:val="clear" w:color="auto" w:fill="F2F2F2" w:themeFill="background1" w:themeFillShade="F2"/>
            <w:vAlign w:val="bottom"/>
          </w:tcPr>
          <w:p w14:paraId="749F4358"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2013 to June 30, 2014</w:t>
            </w:r>
          </w:p>
        </w:tc>
        <w:tc>
          <w:tcPr>
            <w:tcW w:w="1066" w:type="dxa"/>
            <w:shd w:val="clear" w:color="auto" w:fill="F2F2F2" w:themeFill="background1" w:themeFillShade="F2"/>
            <w:vAlign w:val="bottom"/>
          </w:tcPr>
          <w:p w14:paraId="1CE7826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$7,944</w:t>
            </w:r>
          </w:p>
        </w:tc>
        <w:tc>
          <w:tcPr>
            <w:tcW w:w="1369" w:type="dxa"/>
            <w:shd w:val="clear" w:color="auto" w:fill="F2F2F2" w:themeFill="background1" w:themeFillShade="F2"/>
            <w:vAlign w:val="bottom"/>
          </w:tcPr>
          <w:p w14:paraId="78817D0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$107</w:t>
            </w:r>
          </w:p>
        </w:tc>
        <w:tc>
          <w:tcPr>
            <w:tcW w:w="814" w:type="dxa"/>
            <w:shd w:val="clear" w:color="auto" w:fill="F2F2F2" w:themeFill="background1" w:themeFillShade="F2"/>
            <w:vAlign w:val="bottom"/>
          </w:tcPr>
          <w:p w14:paraId="1AA5914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w:t>
            </w:r>
          </w:p>
        </w:tc>
        <w:tc>
          <w:tcPr>
            <w:tcW w:w="1360" w:type="dxa"/>
            <w:shd w:val="clear" w:color="auto" w:fill="F2F2F2" w:themeFill="background1" w:themeFillShade="F2"/>
            <w:vAlign w:val="bottom"/>
          </w:tcPr>
          <w:p w14:paraId="5CC39C8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$60.52</w:t>
            </w:r>
          </w:p>
        </w:tc>
        <w:tc>
          <w:tcPr>
            <w:tcW w:w="1326" w:type="dxa"/>
            <w:shd w:val="clear" w:color="auto" w:fill="F2F2F2" w:themeFill="background1" w:themeFillShade="F2"/>
            <w:vAlign w:val="bottom"/>
          </w:tcPr>
          <w:p w14:paraId="575895F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$61.40</w:t>
            </w:r>
          </w:p>
        </w:tc>
      </w:tr>
      <w:tr w:rsidR="00B91493" w:rsidRPr="001853DF" w14:paraId="519E4986" w14:textId="77777777" w:rsidTr="00D26DB8">
        <w:trPr>
          <w:trHeight w:val="432"/>
        </w:trPr>
        <w:tc>
          <w:tcPr>
            <w:tcW w:w="662" w:type="dxa"/>
            <w:vAlign w:val="bottom"/>
          </w:tcPr>
          <w:p w14:paraId="6FEDD4F7" w14:textId="77777777" w:rsidR="00B91493" w:rsidRPr="001C4347" w:rsidRDefault="00B91493" w:rsidP="00D26DB8">
            <w:pPr>
              <w:rPr>
                <w:rFonts w:ascii="Arial" w:hAnsi="Arial" w:cs="Arial"/>
                <w:sz w:val="18"/>
                <w:szCs w:val="18"/>
              </w:rPr>
            </w:pPr>
            <w:r w:rsidRPr="001C4347">
              <w:rPr>
                <w:rFonts w:ascii="Arial" w:hAnsi="Arial" w:cs="Arial"/>
                <w:sz w:val="18"/>
                <w:szCs w:val="18"/>
              </w:rPr>
              <w:t>2015</w:t>
            </w:r>
          </w:p>
        </w:tc>
        <w:tc>
          <w:tcPr>
            <w:tcW w:w="2753" w:type="dxa"/>
            <w:vAlign w:val="bottom"/>
          </w:tcPr>
          <w:p w14:paraId="12100BD5"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2014 to June 30 2015</w:t>
            </w:r>
          </w:p>
        </w:tc>
        <w:tc>
          <w:tcPr>
            <w:tcW w:w="1066" w:type="dxa"/>
            <w:vAlign w:val="bottom"/>
          </w:tcPr>
          <w:p w14:paraId="0CA2A6D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$7,984</w:t>
            </w:r>
          </w:p>
        </w:tc>
        <w:tc>
          <w:tcPr>
            <w:tcW w:w="1369" w:type="dxa"/>
            <w:vAlign w:val="bottom"/>
          </w:tcPr>
          <w:p w14:paraId="56E79CB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$109</w:t>
            </w:r>
          </w:p>
        </w:tc>
        <w:tc>
          <w:tcPr>
            <w:tcW w:w="814" w:type="dxa"/>
            <w:vAlign w:val="bottom"/>
          </w:tcPr>
          <w:p w14:paraId="0E73CFB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w:t>
            </w:r>
          </w:p>
        </w:tc>
        <w:tc>
          <w:tcPr>
            <w:tcW w:w="1360" w:type="dxa"/>
            <w:vAlign w:val="bottom"/>
          </w:tcPr>
          <w:p w14:paraId="0BF4013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$59.72</w:t>
            </w:r>
          </w:p>
        </w:tc>
        <w:tc>
          <w:tcPr>
            <w:tcW w:w="1326" w:type="dxa"/>
            <w:vAlign w:val="bottom"/>
          </w:tcPr>
          <w:p w14:paraId="2ADF3FC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$62.98</w:t>
            </w:r>
          </w:p>
        </w:tc>
      </w:tr>
      <w:tr w:rsidR="00B91493" w:rsidRPr="001853DF" w14:paraId="033B8EA1" w14:textId="77777777" w:rsidTr="00D26DB8">
        <w:trPr>
          <w:trHeight w:val="432"/>
        </w:trPr>
        <w:tc>
          <w:tcPr>
            <w:tcW w:w="662" w:type="dxa"/>
            <w:shd w:val="clear" w:color="auto" w:fill="F2F2F2" w:themeFill="background1" w:themeFillShade="F2"/>
            <w:vAlign w:val="bottom"/>
          </w:tcPr>
          <w:p w14:paraId="4077752B" w14:textId="77777777" w:rsidR="00B91493" w:rsidRPr="001C4347" w:rsidRDefault="00B91493" w:rsidP="00D26DB8">
            <w:pPr>
              <w:rPr>
                <w:rFonts w:ascii="Arial" w:hAnsi="Arial" w:cs="Arial"/>
                <w:sz w:val="18"/>
                <w:szCs w:val="18"/>
              </w:rPr>
            </w:pPr>
            <w:r w:rsidRPr="001C4347">
              <w:rPr>
                <w:rFonts w:ascii="Arial" w:hAnsi="Arial" w:cs="Arial"/>
                <w:sz w:val="18"/>
                <w:szCs w:val="18"/>
              </w:rPr>
              <w:t>2016</w:t>
            </w:r>
          </w:p>
        </w:tc>
        <w:tc>
          <w:tcPr>
            <w:tcW w:w="2753" w:type="dxa"/>
            <w:shd w:val="clear" w:color="auto" w:fill="F2F2F2" w:themeFill="background1" w:themeFillShade="F2"/>
            <w:vAlign w:val="bottom"/>
          </w:tcPr>
          <w:p w14:paraId="41D6C425"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2015 to June 30, 2016</w:t>
            </w:r>
          </w:p>
        </w:tc>
        <w:tc>
          <w:tcPr>
            <w:tcW w:w="1066" w:type="dxa"/>
            <w:shd w:val="clear" w:color="auto" w:fill="F2F2F2" w:themeFill="background1" w:themeFillShade="F2"/>
            <w:vAlign w:val="bottom"/>
          </w:tcPr>
          <w:p w14:paraId="672F8AE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$8,076</w:t>
            </w:r>
          </w:p>
        </w:tc>
        <w:tc>
          <w:tcPr>
            <w:tcW w:w="1369" w:type="dxa"/>
            <w:shd w:val="clear" w:color="auto" w:fill="F2F2F2" w:themeFill="background1" w:themeFillShade="F2"/>
            <w:vAlign w:val="bottom"/>
          </w:tcPr>
          <w:p w14:paraId="25F049A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shd w:val="clear" w:color="auto" w:fill="F2F2F2" w:themeFill="background1" w:themeFillShade="F2"/>
            <w:vAlign w:val="bottom"/>
          </w:tcPr>
          <w:p w14:paraId="0E46A36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shd w:val="clear" w:color="auto" w:fill="F2F2F2" w:themeFill="background1" w:themeFillShade="F2"/>
            <w:vAlign w:val="bottom"/>
          </w:tcPr>
          <w:p w14:paraId="46F7531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$61.49</w:t>
            </w:r>
          </w:p>
        </w:tc>
        <w:tc>
          <w:tcPr>
            <w:tcW w:w="1326" w:type="dxa"/>
            <w:shd w:val="clear" w:color="auto" w:fill="F2F2F2" w:themeFill="background1" w:themeFillShade="F2"/>
            <w:vAlign w:val="bottom"/>
          </w:tcPr>
          <w:p w14:paraId="193AE3A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$65.63</w:t>
            </w:r>
          </w:p>
        </w:tc>
      </w:tr>
      <w:tr w:rsidR="00B91493" w:rsidRPr="001853DF" w14:paraId="38C5217B" w14:textId="77777777" w:rsidTr="00D26DB8">
        <w:trPr>
          <w:trHeight w:val="432"/>
        </w:trPr>
        <w:tc>
          <w:tcPr>
            <w:tcW w:w="662" w:type="dxa"/>
            <w:vAlign w:val="bottom"/>
          </w:tcPr>
          <w:p w14:paraId="1EDB62A0" w14:textId="77777777" w:rsidR="00B91493" w:rsidRPr="001C4347" w:rsidRDefault="00B91493" w:rsidP="00D26DB8">
            <w:pPr>
              <w:rPr>
                <w:rFonts w:ascii="Arial" w:hAnsi="Arial" w:cs="Arial"/>
                <w:sz w:val="18"/>
                <w:szCs w:val="18"/>
              </w:rPr>
            </w:pPr>
            <w:r w:rsidRPr="001C4347">
              <w:rPr>
                <w:rFonts w:ascii="Arial" w:hAnsi="Arial" w:cs="Arial"/>
                <w:sz w:val="18"/>
                <w:szCs w:val="18"/>
              </w:rPr>
              <w:t>2017</w:t>
            </w:r>
          </w:p>
        </w:tc>
        <w:tc>
          <w:tcPr>
            <w:tcW w:w="2753" w:type="dxa"/>
            <w:vAlign w:val="bottom"/>
          </w:tcPr>
          <w:p w14:paraId="61634714"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2016 to June 30, 2017</w:t>
            </w:r>
          </w:p>
        </w:tc>
        <w:tc>
          <w:tcPr>
            <w:tcW w:w="1066" w:type="dxa"/>
            <w:vAlign w:val="bottom"/>
          </w:tcPr>
          <w:p w14:paraId="38AAA88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$8,120</w:t>
            </w:r>
          </w:p>
        </w:tc>
        <w:tc>
          <w:tcPr>
            <w:tcW w:w="1369" w:type="dxa"/>
            <w:vAlign w:val="bottom"/>
          </w:tcPr>
          <w:p w14:paraId="061009D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vAlign w:val="bottom"/>
          </w:tcPr>
          <w:p w14:paraId="3056BCA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vAlign w:val="bottom"/>
          </w:tcPr>
          <w:p w14:paraId="0A8F041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$62.91</w:t>
            </w:r>
          </w:p>
        </w:tc>
        <w:tc>
          <w:tcPr>
            <w:tcW w:w="1326" w:type="dxa"/>
            <w:vAlign w:val="bottom"/>
          </w:tcPr>
          <w:p w14:paraId="2B9CC88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$63.86</w:t>
            </w:r>
          </w:p>
        </w:tc>
      </w:tr>
      <w:tr w:rsidR="00B91493" w:rsidRPr="001853DF" w14:paraId="70B8693F" w14:textId="77777777" w:rsidTr="00D26DB8">
        <w:trPr>
          <w:trHeight w:val="432"/>
        </w:trPr>
        <w:tc>
          <w:tcPr>
            <w:tcW w:w="662" w:type="dxa"/>
            <w:shd w:val="clear" w:color="auto" w:fill="F2F2F2" w:themeFill="background1" w:themeFillShade="F2"/>
            <w:vAlign w:val="bottom"/>
          </w:tcPr>
          <w:p w14:paraId="7DA247FE" w14:textId="77777777" w:rsidR="00B91493" w:rsidRPr="001C4347" w:rsidRDefault="00B91493" w:rsidP="00D26DB8">
            <w:pPr>
              <w:rPr>
                <w:rFonts w:ascii="Arial" w:hAnsi="Arial" w:cs="Arial"/>
                <w:sz w:val="18"/>
                <w:szCs w:val="18"/>
              </w:rPr>
            </w:pPr>
            <w:r w:rsidRPr="001C4347">
              <w:rPr>
                <w:rFonts w:ascii="Arial" w:hAnsi="Arial" w:cs="Arial"/>
                <w:sz w:val="18"/>
                <w:szCs w:val="18"/>
              </w:rPr>
              <w:t>2018</w:t>
            </w:r>
          </w:p>
        </w:tc>
        <w:tc>
          <w:tcPr>
            <w:tcW w:w="2753" w:type="dxa"/>
            <w:shd w:val="clear" w:color="auto" w:fill="F2F2F2" w:themeFill="background1" w:themeFillShade="F2"/>
            <w:vAlign w:val="bottom"/>
          </w:tcPr>
          <w:p w14:paraId="55B0D315"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2017 to June 30, 2018</w:t>
            </w:r>
          </w:p>
        </w:tc>
        <w:tc>
          <w:tcPr>
            <w:tcW w:w="1066" w:type="dxa"/>
            <w:shd w:val="clear" w:color="auto" w:fill="F2F2F2" w:themeFill="background1" w:themeFillShade="F2"/>
            <w:vAlign w:val="bottom"/>
          </w:tcPr>
          <w:p w14:paraId="7B9EB78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$8,201</w:t>
            </w:r>
          </w:p>
        </w:tc>
        <w:tc>
          <w:tcPr>
            <w:tcW w:w="1369" w:type="dxa"/>
            <w:shd w:val="clear" w:color="auto" w:fill="F2F2F2" w:themeFill="background1" w:themeFillShade="F2"/>
            <w:vAlign w:val="bottom"/>
          </w:tcPr>
          <w:p w14:paraId="12F47DC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$114</w:t>
            </w:r>
          </w:p>
        </w:tc>
        <w:tc>
          <w:tcPr>
            <w:tcW w:w="814" w:type="dxa"/>
            <w:shd w:val="clear" w:color="auto" w:fill="F2F2F2" w:themeFill="background1" w:themeFillShade="F2"/>
            <w:vAlign w:val="bottom"/>
          </w:tcPr>
          <w:p w14:paraId="488A285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$86</w:t>
            </w:r>
          </w:p>
        </w:tc>
        <w:tc>
          <w:tcPr>
            <w:tcW w:w="1360" w:type="dxa"/>
            <w:shd w:val="clear" w:color="auto" w:fill="F2F2F2" w:themeFill="background1" w:themeFillShade="F2"/>
            <w:vAlign w:val="bottom"/>
          </w:tcPr>
          <w:p w14:paraId="773969E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$62.92</w:t>
            </w:r>
          </w:p>
        </w:tc>
        <w:tc>
          <w:tcPr>
            <w:tcW w:w="1326" w:type="dxa"/>
            <w:shd w:val="clear" w:color="auto" w:fill="F2F2F2" w:themeFill="background1" w:themeFillShade="F2"/>
            <w:vAlign w:val="bottom"/>
          </w:tcPr>
          <w:p w14:paraId="70A122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65.98</w:t>
            </w:r>
          </w:p>
        </w:tc>
      </w:tr>
      <w:tr w:rsidR="00B91493" w:rsidRPr="001853DF" w14:paraId="4A129828" w14:textId="77777777" w:rsidTr="00D26DB8">
        <w:trPr>
          <w:trHeight w:val="432"/>
        </w:trPr>
        <w:tc>
          <w:tcPr>
            <w:tcW w:w="662" w:type="dxa"/>
            <w:vAlign w:val="bottom"/>
          </w:tcPr>
          <w:p w14:paraId="6DAA7BDD" w14:textId="77777777" w:rsidR="00B91493" w:rsidRPr="001C4347" w:rsidRDefault="00B91493" w:rsidP="00D26DB8">
            <w:pPr>
              <w:rPr>
                <w:rFonts w:ascii="Arial" w:hAnsi="Arial" w:cs="Arial"/>
                <w:sz w:val="18"/>
                <w:szCs w:val="18"/>
              </w:rPr>
            </w:pPr>
            <w:r w:rsidRPr="001C4347">
              <w:rPr>
                <w:rFonts w:ascii="Arial" w:hAnsi="Arial" w:cs="Arial"/>
                <w:sz w:val="18"/>
                <w:szCs w:val="18"/>
              </w:rPr>
              <w:t>2019</w:t>
            </w:r>
          </w:p>
        </w:tc>
        <w:tc>
          <w:tcPr>
            <w:tcW w:w="2753" w:type="dxa"/>
            <w:vAlign w:val="bottom"/>
          </w:tcPr>
          <w:p w14:paraId="405EAF5E"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2018 to June 30, 2019</w:t>
            </w:r>
          </w:p>
        </w:tc>
        <w:tc>
          <w:tcPr>
            <w:tcW w:w="1066" w:type="dxa"/>
            <w:vAlign w:val="bottom"/>
          </w:tcPr>
          <w:p w14:paraId="0B7A7A2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$8,373</w:t>
            </w:r>
          </w:p>
        </w:tc>
        <w:tc>
          <w:tcPr>
            <w:tcW w:w="1369" w:type="dxa"/>
            <w:vAlign w:val="bottom"/>
          </w:tcPr>
          <w:p w14:paraId="74ACC4D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$116</w:t>
            </w:r>
          </w:p>
        </w:tc>
        <w:tc>
          <w:tcPr>
            <w:tcW w:w="814" w:type="dxa"/>
            <w:vAlign w:val="bottom"/>
          </w:tcPr>
          <w:p w14:paraId="23085F6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$87</w:t>
            </w:r>
          </w:p>
        </w:tc>
        <w:tc>
          <w:tcPr>
            <w:tcW w:w="1360" w:type="dxa"/>
            <w:vAlign w:val="bottom"/>
          </w:tcPr>
          <w:p w14:paraId="13417A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$63.50</w:t>
            </w:r>
          </w:p>
        </w:tc>
        <w:tc>
          <w:tcPr>
            <w:tcW w:w="1326" w:type="dxa"/>
            <w:vAlign w:val="bottom"/>
          </w:tcPr>
          <w:p w14:paraId="520CA4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$66.97</w:t>
            </w:r>
          </w:p>
        </w:tc>
      </w:tr>
      <w:tr w:rsidR="00B91493" w:rsidRPr="001853DF" w14:paraId="343B1E35" w14:textId="77777777" w:rsidTr="00D26DB8">
        <w:trPr>
          <w:trHeight w:val="432"/>
        </w:trPr>
        <w:tc>
          <w:tcPr>
            <w:tcW w:w="662" w:type="dxa"/>
            <w:shd w:val="clear" w:color="auto" w:fill="F2F2F2" w:themeFill="background1" w:themeFillShade="F2"/>
            <w:vAlign w:val="bottom"/>
          </w:tcPr>
          <w:p w14:paraId="466420EE" w14:textId="77777777" w:rsidR="00B91493" w:rsidRPr="001C4347" w:rsidRDefault="00B91493" w:rsidP="00D26DB8">
            <w:pPr>
              <w:rPr>
                <w:rFonts w:ascii="Arial" w:hAnsi="Arial" w:cs="Arial"/>
                <w:sz w:val="18"/>
                <w:szCs w:val="18"/>
              </w:rPr>
            </w:pPr>
            <w:r w:rsidRPr="001C4347">
              <w:rPr>
                <w:rFonts w:ascii="Arial" w:hAnsi="Arial" w:cs="Arial"/>
                <w:sz w:val="18"/>
                <w:szCs w:val="18"/>
              </w:rPr>
              <w:t>2020</w:t>
            </w:r>
          </w:p>
        </w:tc>
        <w:tc>
          <w:tcPr>
            <w:tcW w:w="2753" w:type="dxa"/>
            <w:shd w:val="clear" w:color="auto" w:fill="F2F2F2" w:themeFill="background1" w:themeFillShade="F2"/>
            <w:vAlign w:val="bottom"/>
          </w:tcPr>
          <w:p w14:paraId="0A50219B" w14:textId="77777777" w:rsidR="00B91493" w:rsidRPr="001C4347" w:rsidRDefault="00B91493" w:rsidP="00D26DB8">
            <w:pPr>
              <w:rPr>
                <w:rFonts w:ascii="Arial" w:hAnsi="Arial" w:cs="Arial"/>
                <w:sz w:val="18"/>
                <w:szCs w:val="18"/>
              </w:rPr>
            </w:pPr>
            <w:r w:rsidRPr="001C4347">
              <w:rPr>
                <w:rFonts w:ascii="Arial" w:hAnsi="Arial" w:cs="Arial"/>
                <w:sz w:val="18"/>
                <w:szCs w:val="18"/>
              </w:rPr>
              <w:t>July 1, 2019 to June 30, 2020</w:t>
            </w:r>
          </w:p>
        </w:tc>
        <w:tc>
          <w:tcPr>
            <w:tcW w:w="1066" w:type="dxa"/>
            <w:shd w:val="clear" w:color="auto" w:fill="F2F2F2" w:themeFill="background1" w:themeFillShade="F2"/>
            <w:vAlign w:val="bottom"/>
          </w:tcPr>
          <w:p w14:paraId="3F25F44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$8,599</w:t>
            </w:r>
          </w:p>
        </w:tc>
        <w:tc>
          <w:tcPr>
            <w:tcW w:w="1369" w:type="dxa"/>
            <w:shd w:val="clear" w:color="auto" w:fill="F2F2F2" w:themeFill="background1" w:themeFillShade="F2"/>
            <w:vAlign w:val="bottom"/>
          </w:tcPr>
          <w:p w14:paraId="2E1A024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$119</w:t>
            </w:r>
          </w:p>
        </w:tc>
        <w:tc>
          <w:tcPr>
            <w:tcW w:w="814" w:type="dxa"/>
            <w:shd w:val="clear" w:color="auto" w:fill="F2F2F2" w:themeFill="background1" w:themeFillShade="F2"/>
            <w:vAlign w:val="bottom"/>
          </w:tcPr>
          <w:p w14:paraId="36D5D1CE"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89</w:t>
            </w:r>
          </w:p>
        </w:tc>
        <w:tc>
          <w:tcPr>
            <w:tcW w:w="1360" w:type="dxa"/>
            <w:shd w:val="clear" w:color="auto" w:fill="F2F2F2" w:themeFill="background1" w:themeFillShade="F2"/>
            <w:vAlign w:val="bottom"/>
          </w:tcPr>
          <w:p w14:paraId="43DEA34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$64.04</w:t>
            </w:r>
          </w:p>
        </w:tc>
        <w:tc>
          <w:tcPr>
            <w:tcW w:w="1326" w:type="dxa"/>
            <w:shd w:val="clear" w:color="auto" w:fill="F2F2F2" w:themeFill="background1" w:themeFillShade="F2"/>
            <w:vAlign w:val="bottom"/>
          </w:tcPr>
          <w:p w14:paraId="4F2AB3A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$69.58</w:t>
            </w:r>
          </w:p>
        </w:tc>
      </w:tr>
      <w:tr w:rsidR="00B91493" w:rsidRPr="001853DF" w14:paraId="2D8555C0" w14:textId="77777777" w:rsidTr="00D26DB8">
        <w:trPr>
          <w:trHeight w:val="432"/>
        </w:trPr>
        <w:tc>
          <w:tcPr>
            <w:tcW w:w="662" w:type="dxa"/>
            <w:vAlign w:val="bottom"/>
          </w:tcPr>
          <w:p w14:paraId="5B02997D" w14:textId="77777777" w:rsidR="00B91493" w:rsidRPr="001C4347" w:rsidRDefault="00B91493" w:rsidP="00D26DB8">
            <w:pPr>
              <w:rPr>
                <w:rFonts w:ascii="Arial" w:hAnsi="Arial" w:cs="Arial"/>
                <w:sz w:val="18"/>
                <w:szCs w:val="18"/>
              </w:rPr>
            </w:pPr>
            <w:r w:rsidRPr="001C4347">
              <w:rPr>
                <w:rFonts w:ascii="Arial" w:hAnsi="Arial" w:cs="Arial"/>
                <w:sz w:val="18"/>
                <w:szCs w:val="18"/>
              </w:rPr>
              <w:t>2021</w:t>
            </w:r>
          </w:p>
        </w:tc>
        <w:tc>
          <w:tcPr>
            <w:tcW w:w="2753" w:type="dxa"/>
            <w:vAlign w:val="bottom"/>
          </w:tcPr>
          <w:p w14:paraId="0DC74022" w14:textId="77777777" w:rsidR="00B91493" w:rsidRPr="001C4347" w:rsidRDefault="00B91493" w:rsidP="00D26DB8">
            <w:pPr>
              <w:rPr>
                <w:rFonts w:ascii="Arial" w:hAnsi="Arial" w:cs="Arial"/>
                <w:sz w:val="18"/>
                <w:szCs w:val="18"/>
              </w:rPr>
            </w:pPr>
            <w:r w:rsidRPr="001C4347">
              <w:rPr>
                <w:rFonts w:ascii="Arial" w:hAnsi="Arial" w:cs="Arial"/>
                <w:sz w:val="18"/>
                <w:szCs w:val="18"/>
              </w:rPr>
              <w:t>July 1, 2020 to June 30, 2021</w:t>
            </w:r>
          </w:p>
        </w:tc>
        <w:tc>
          <w:tcPr>
            <w:tcW w:w="1066" w:type="dxa"/>
            <w:vAlign w:val="bottom"/>
          </w:tcPr>
          <w:p w14:paraId="2FF4052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$8,909</w:t>
            </w:r>
          </w:p>
        </w:tc>
        <w:tc>
          <w:tcPr>
            <w:tcW w:w="1369" w:type="dxa"/>
            <w:vAlign w:val="bottom"/>
          </w:tcPr>
          <w:p w14:paraId="3F76C13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$123</w:t>
            </w:r>
          </w:p>
        </w:tc>
        <w:tc>
          <w:tcPr>
            <w:tcW w:w="814" w:type="dxa"/>
            <w:vAlign w:val="bottom"/>
          </w:tcPr>
          <w:p w14:paraId="49DE8A0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$92</w:t>
            </w:r>
          </w:p>
        </w:tc>
        <w:tc>
          <w:tcPr>
            <w:tcW w:w="1360" w:type="dxa"/>
            <w:vAlign w:val="bottom"/>
          </w:tcPr>
          <w:p w14:paraId="796334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$63.41</w:t>
            </w:r>
          </w:p>
        </w:tc>
        <w:tc>
          <w:tcPr>
            <w:tcW w:w="1326" w:type="dxa"/>
            <w:vAlign w:val="bottom"/>
          </w:tcPr>
          <w:p w14:paraId="6DE962E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$67.32</w:t>
            </w:r>
          </w:p>
        </w:tc>
      </w:tr>
      <w:tr w:rsidR="00B91493" w:rsidRPr="001853DF" w14:paraId="047D400F" w14:textId="77777777" w:rsidTr="00D26DB8">
        <w:trPr>
          <w:trHeight w:val="432"/>
        </w:trPr>
        <w:tc>
          <w:tcPr>
            <w:tcW w:w="662" w:type="dxa"/>
            <w:shd w:val="clear" w:color="auto" w:fill="F2F2F2" w:themeFill="background1" w:themeFillShade="F2"/>
            <w:vAlign w:val="bottom"/>
          </w:tcPr>
          <w:p w14:paraId="6F376204" w14:textId="77777777" w:rsidR="00B91493" w:rsidRPr="001C4347" w:rsidRDefault="00B91493" w:rsidP="00D26DB8">
            <w:pPr>
              <w:rPr>
                <w:rFonts w:ascii="Arial" w:hAnsi="Arial" w:cs="Arial"/>
                <w:sz w:val="18"/>
                <w:szCs w:val="18"/>
              </w:rPr>
            </w:pPr>
            <w:r w:rsidRPr="001C4347">
              <w:rPr>
                <w:rFonts w:ascii="Arial" w:hAnsi="Arial" w:cs="Arial"/>
                <w:sz w:val="18"/>
                <w:szCs w:val="18"/>
              </w:rPr>
              <w:t>2022</w:t>
            </w:r>
          </w:p>
        </w:tc>
        <w:tc>
          <w:tcPr>
            <w:tcW w:w="2753" w:type="dxa"/>
            <w:shd w:val="clear" w:color="auto" w:fill="F2F2F2" w:themeFill="background1" w:themeFillShade="F2"/>
            <w:vAlign w:val="bottom"/>
          </w:tcPr>
          <w:p w14:paraId="3AB8274B" w14:textId="77777777" w:rsidR="00B91493" w:rsidRPr="001C4347" w:rsidRDefault="00B91493" w:rsidP="00D26DB8">
            <w:pPr>
              <w:rPr>
                <w:rFonts w:ascii="Arial" w:hAnsi="Arial" w:cs="Arial"/>
                <w:sz w:val="18"/>
                <w:szCs w:val="18"/>
              </w:rPr>
            </w:pPr>
            <w:r w:rsidRPr="001C4347">
              <w:rPr>
                <w:rFonts w:ascii="Arial" w:hAnsi="Arial" w:cs="Arial"/>
                <w:sz w:val="18"/>
                <w:szCs w:val="18"/>
              </w:rPr>
              <w:t>July 1, 2021 to June 30, 2022</w:t>
            </w:r>
          </w:p>
        </w:tc>
        <w:tc>
          <w:tcPr>
            <w:tcW w:w="1066" w:type="dxa"/>
            <w:shd w:val="clear" w:color="auto" w:fill="F2F2F2" w:themeFill="background1" w:themeFillShade="F2"/>
            <w:vAlign w:val="bottom"/>
          </w:tcPr>
          <w:p w14:paraId="45C83B3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shd w:val="clear" w:color="auto" w:fill="F2F2F2" w:themeFill="background1" w:themeFillShade="F2"/>
            <w:vAlign w:val="bottom"/>
          </w:tcPr>
          <w:p w14:paraId="2D93A39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shd w:val="clear" w:color="auto" w:fill="F2F2F2" w:themeFill="background1" w:themeFillShade="F2"/>
            <w:vAlign w:val="bottom"/>
          </w:tcPr>
          <w:p w14:paraId="13F6A03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shd w:val="clear" w:color="auto" w:fill="F2F2F2" w:themeFill="background1" w:themeFillShade="F2"/>
            <w:vAlign w:val="bottom"/>
          </w:tcPr>
          <w:p w14:paraId="776CE35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shd w:val="clear" w:color="auto" w:fill="F2F2F2" w:themeFill="background1" w:themeFillShade="F2"/>
            <w:vAlign w:val="bottom"/>
          </w:tcPr>
          <w:p w14:paraId="275BB6B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r w:rsidR="00B91493" w:rsidRPr="001853DF" w14:paraId="4C6B95D8" w14:textId="77777777" w:rsidTr="00D26DB8">
        <w:trPr>
          <w:trHeight w:val="432"/>
        </w:trPr>
        <w:tc>
          <w:tcPr>
            <w:tcW w:w="662" w:type="dxa"/>
            <w:vAlign w:val="bottom"/>
          </w:tcPr>
          <w:p w14:paraId="540F2E0E" w14:textId="77777777" w:rsidR="00B91493" w:rsidRPr="001C4347" w:rsidRDefault="00B91493" w:rsidP="00D26DB8">
            <w:pPr>
              <w:rPr>
                <w:rFonts w:ascii="Arial" w:hAnsi="Arial" w:cs="Arial"/>
                <w:sz w:val="18"/>
                <w:szCs w:val="18"/>
              </w:rPr>
            </w:pPr>
            <w:r w:rsidRPr="001C4347">
              <w:rPr>
                <w:rFonts w:ascii="Arial" w:hAnsi="Arial" w:cs="Arial"/>
                <w:sz w:val="18"/>
                <w:szCs w:val="18"/>
              </w:rPr>
              <w:t>2023</w:t>
            </w:r>
          </w:p>
        </w:tc>
        <w:tc>
          <w:tcPr>
            <w:tcW w:w="2753" w:type="dxa"/>
            <w:vAlign w:val="bottom"/>
          </w:tcPr>
          <w:p w14:paraId="6566A82C" w14:textId="77777777" w:rsidR="00B91493" w:rsidRPr="001C4347" w:rsidRDefault="00B91493" w:rsidP="00D26DB8">
            <w:pPr>
              <w:rPr>
                <w:rFonts w:ascii="Arial" w:hAnsi="Arial" w:cs="Arial"/>
                <w:sz w:val="18"/>
                <w:szCs w:val="18"/>
              </w:rPr>
            </w:pPr>
            <w:r w:rsidRPr="001C4347">
              <w:rPr>
                <w:rFonts w:ascii="Arial" w:hAnsi="Arial" w:cs="Arial"/>
                <w:sz w:val="18"/>
                <w:szCs w:val="18"/>
              </w:rPr>
              <w:t>July 1, 2022 to June 30, 2023</w:t>
            </w:r>
          </w:p>
        </w:tc>
        <w:tc>
          <w:tcPr>
            <w:tcW w:w="1066" w:type="dxa"/>
            <w:vAlign w:val="bottom"/>
          </w:tcPr>
          <w:p w14:paraId="2E4E9F1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vAlign w:val="bottom"/>
          </w:tcPr>
          <w:p w14:paraId="1939050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vAlign w:val="bottom"/>
          </w:tcPr>
          <w:p w14:paraId="3B838E3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vAlign w:val="bottom"/>
          </w:tcPr>
          <w:p w14:paraId="40F3297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vAlign w:val="bottom"/>
          </w:tcPr>
          <w:p w14:paraId="4B8BC75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bl>
    <w:p w14:paraId="68B430AB" w14:textId="77777777" w:rsidR="00B91493" w:rsidRPr="00B91493" w:rsidRDefault="00B91493" w:rsidP="00B91493">
      <w:pPr>
        <w:rPr>
          <w:rFonts w:asciiTheme="majorHAnsi" w:hAnsiTheme="majorHAnsi"/>
          <w:b/>
          <w:bCs/>
          <w:i/>
          <w:iCs/>
          <w:sz w:val="28"/>
          <w:szCs w:val="28"/>
        </w:rPr>
      </w:pPr>
    </w:p>
    <w:sectPr w:rsidR="00B91493" w:rsidRPr="00B91493" w:rsidSect="001F6885">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2BC2" w14:textId="77777777" w:rsidR="001F6885" w:rsidRDefault="001F6885" w:rsidP="00D945DF">
      <w:r>
        <w:separator/>
      </w:r>
    </w:p>
  </w:endnote>
  <w:endnote w:type="continuationSeparator" w:id="0">
    <w:p w14:paraId="6ED81B15" w14:textId="77777777" w:rsidR="001F6885" w:rsidRDefault="001F6885" w:rsidP="00D945DF">
      <w:r>
        <w:continuationSeparator/>
      </w:r>
    </w:p>
  </w:endnote>
  <w:endnote w:type="continuationNotice" w:id="1">
    <w:p w14:paraId="0A4A6D6A" w14:textId="77777777" w:rsidR="001F6885" w:rsidRDefault="001F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329" w14:textId="6E805C03" w:rsidR="005D41E6" w:rsidRDefault="005D41E6">
    <w:pPr>
      <w:pStyle w:val="Footer"/>
      <w:jc w:val="center"/>
    </w:pPr>
    <w:r>
      <w:fldChar w:fldCharType="begin"/>
    </w:r>
    <w:r>
      <w:instrText xml:space="preserve"> PAGE   \* MERGEFORMAT </w:instrText>
    </w:r>
    <w:r>
      <w:fldChar w:fldCharType="separate"/>
    </w:r>
    <w:r>
      <w:rPr>
        <w:noProof/>
      </w:rPr>
      <w:t>16</w:t>
    </w:r>
    <w:r>
      <w:rPr>
        <w:noProof/>
      </w:rPr>
      <w:fldChar w:fldCharType="end"/>
    </w:r>
  </w:p>
  <w:p w14:paraId="73987DF0" w14:textId="77777777" w:rsidR="005D41E6" w:rsidRDefault="005D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5CDE" w14:textId="77777777" w:rsidR="001F6885" w:rsidRDefault="001F6885" w:rsidP="00D945DF">
      <w:r>
        <w:separator/>
      </w:r>
    </w:p>
  </w:footnote>
  <w:footnote w:type="continuationSeparator" w:id="0">
    <w:p w14:paraId="677E7602" w14:textId="77777777" w:rsidR="001F6885" w:rsidRDefault="001F6885" w:rsidP="00D945DF">
      <w:r>
        <w:continuationSeparator/>
      </w:r>
    </w:p>
  </w:footnote>
  <w:footnote w:type="continuationNotice" w:id="1">
    <w:p w14:paraId="0DD04B03" w14:textId="77777777" w:rsidR="001F6885" w:rsidRDefault="001F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279" w14:textId="7BD6BD2F" w:rsidR="005D41E6" w:rsidRPr="0062034C" w:rsidRDefault="005D41E6">
    <w:pPr>
      <w:pStyle w:val="Header"/>
    </w:pPr>
    <w:r w:rsidRPr="0062034C">
      <w:t xml:space="preserve">Facility Fee Schedule Instruction Set </w:t>
    </w:r>
  </w:p>
  <w:p w14:paraId="38EFAEC8" w14:textId="4F9B14BB" w:rsidR="005D41E6" w:rsidRPr="00D466F5" w:rsidRDefault="005D41E6">
    <w:pPr>
      <w:pStyle w:val="Header"/>
    </w:pPr>
    <w:r w:rsidRPr="00D466F5">
      <w:t>Effective July 1,</w:t>
    </w:r>
    <w:r w:rsidR="00E94D97" w:rsidRPr="00D466F5">
      <w:t xml:space="preserve"> </w:t>
    </w:r>
    <w:r w:rsidR="004C4ECA">
      <w:t>2024</w:t>
    </w:r>
  </w:p>
  <w:p w14:paraId="430E62EA" w14:textId="77777777" w:rsidR="005D41E6" w:rsidRPr="00CB4C91" w:rsidRDefault="005D41E6">
    <w:pPr>
      <w:pStyle w:val="Header"/>
    </w:pPr>
  </w:p>
  <w:p w14:paraId="19F58599" w14:textId="77777777" w:rsidR="005D41E6" w:rsidRPr="00D945DF" w:rsidRDefault="005D41E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898807">
    <w:abstractNumId w:val="5"/>
  </w:num>
  <w:num w:numId="2" w16cid:durableId="904608723">
    <w:abstractNumId w:val="22"/>
  </w:num>
  <w:num w:numId="3" w16cid:durableId="1403328556">
    <w:abstractNumId w:val="4"/>
  </w:num>
  <w:num w:numId="4" w16cid:durableId="345061629">
    <w:abstractNumId w:val="25"/>
  </w:num>
  <w:num w:numId="5" w16cid:durableId="2101640376">
    <w:abstractNumId w:val="12"/>
  </w:num>
  <w:num w:numId="6" w16cid:durableId="1658460136">
    <w:abstractNumId w:val="30"/>
  </w:num>
  <w:num w:numId="7" w16cid:durableId="1479493668">
    <w:abstractNumId w:val="15"/>
  </w:num>
  <w:num w:numId="8" w16cid:durableId="585263754">
    <w:abstractNumId w:val="16"/>
  </w:num>
  <w:num w:numId="9" w16cid:durableId="829952815">
    <w:abstractNumId w:val="10"/>
  </w:num>
  <w:num w:numId="10" w16cid:durableId="346062214">
    <w:abstractNumId w:val="29"/>
  </w:num>
  <w:num w:numId="11" w16cid:durableId="1521891612">
    <w:abstractNumId w:val="32"/>
  </w:num>
  <w:num w:numId="12" w16cid:durableId="1620452842">
    <w:abstractNumId w:val="33"/>
  </w:num>
  <w:num w:numId="13" w16cid:durableId="1795097709">
    <w:abstractNumId w:val="6"/>
  </w:num>
  <w:num w:numId="14" w16cid:durableId="773016364">
    <w:abstractNumId w:val="8"/>
  </w:num>
  <w:num w:numId="15" w16cid:durableId="316351108">
    <w:abstractNumId w:val="0"/>
  </w:num>
  <w:num w:numId="16" w16cid:durableId="1637762826">
    <w:abstractNumId w:val="3"/>
  </w:num>
  <w:num w:numId="17" w16cid:durableId="787427451">
    <w:abstractNumId w:val="20"/>
  </w:num>
  <w:num w:numId="18" w16cid:durableId="1219128710">
    <w:abstractNumId w:val="21"/>
  </w:num>
  <w:num w:numId="19" w16cid:durableId="396130721">
    <w:abstractNumId w:val="1"/>
  </w:num>
  <w:num w:numId="20" w16cid:durableId="62029580">
    <w:abstractNumId w:val="28"/>
  </w:num>
  <w:num w:numId="21" w16cid:durableId="848367366">
    <w:abstractNumId w:val="34"/>
  </w:num>
  <w:num w:numId="22" w16cid:durableId="2039699028">
    <w:abstractNumId w:val="11"/>
  </w:num>
  <w:num w:numId="23" w16cid:durableId="1553346385">
    <w:abstractNumId w:val="9"/>
  </w:num>
  <w:num w:numId="24" w16cid:durableId="1889030337">
    <w:abstractNumId w:val="24"/>
  </w:num>
  <w:num w:numId="25" w16cid:durableId="1960720866">
    <w:abstractNumId w:val="19"/>
  </w:num>
  <w:num w:numId="26" w16cid:durableId="1850876172">
    <w:abstractNumId w:val="2"/>
  </w:num>
  <w:num w:numId="27" w16cid:durableId="141100254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373314">
    <w:abstractNumId w:val="14"/>
  </w:num>
  <w:num w:numId="29" w16cid:durableId="1681620942">
    <w:abstractNumId w:val="17"/>
  </w:num>
  <w:num w:numId="30" w16cid:durableId="1845779470">
    <w:abstractNumId w:val="26"/>
  </w:num>
  <w:num w:numId="31" w16cid:durableId="1248341248">
    <w:abstractNumId w:val="27"/>
  </w:num>
  <w:num w:numId="32" w16cid:durableId="977105618">
    <w:abstractNumId w:val="31"/>
  </w:num>
  <w:num w:numId="33" w16cid:durableId="1942255655">
    <w:abstractNumId w:val="13"/>
  </w:num>
  <w:num w:numId="34" w16cid:durableId="1248226224">
    <w:abstractNumId w:val="7"/>
  </w:num>
  <w:num w:numId="35" w16cid:durableId="266156907">
    <w:abstractNumId w:val="18"/>
  </w:num>
  <w:num w:numId="36" w16cid:durableId="18242698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20"/>
    <w:rsid w:val="000035E2"/>
    <w:rsid w:val="0001443B"/>
    <w:rsid w:val="00024F08"/>
    <w:rsid w:val="000266EE"/>
    <w:rsid w:val="00027B3D"/>
    <w:rsid w:val="00035C01"/>
    <w:rsid w:val="00035FC2"/>
    <w:rsid w:val="00037BAA"/>
    <w:rsid w:val="00037BB6"/>
    <w:rsid w:val="0004358E"/>
    <w:rsid w:val="00047EDF"/>
    <w:rsid w:val="00050F7F"/>
    <w:rsid w:val="00050FE0"/>
    <w:rsid w:val="00057C1B"/>
    <w:rsid w:val="000608AE"/>
    <w:rsid w:val="00063BAB"/>
    <w:rsid w:val="000660F3"/>
    <w:rsid w:val="00084C65"/>
    <w:rsid w:val="00086520"/>
    <w:rsid w:val="000879E6"/>
    <w:rsid w:val="000904C4"/>
    <w:rsid w:val="00093BAB"/>
    <w:rsid w:val="000B003A"/>
    <w:rsid w:val="000B1F00"/>
    <w:rsid w:val="000B2530"/>
    <w:rsid w:val="000B7D5B"/>
    <w:rsid w:val="000C60D5"/>
    <w:rsid w:val="000C6C47"/>
    <w:rsid w:val="000C7C97"/>
    <w:rsid w:val="000D3078"/>
    <w:rsid w:val="000D690A"/>
    <w:rsid w:val="000D6FCE"/>
    <w:rsid w:val="000E26D7"/>
    <w:rsid w:val="000E2E91"/>
    <w:rsid w:val="000E573C"/>
    <w:rsid w:val="000F1FB7"/>
    <w:rsid w:val="000F4456"/>
    <w:rsid w:val="000F49DD"/>
    <w:rsid w:val="00102072"/>
    <w:rsid w:val="00105E19"/>
    <w:rsid w:val="001112A2"/>
    <w:rsid w:val="00117DB2"/>
    <w:rsid w:val="00131BA7"/>
    <w:rsid w:val="00132825"/>
    <w:rsid w:val="0014638E"/>
    <w:rsid w:val="0015703C"/>
    <w:rsid w:val="00163238"/>
    <w:rsid w:val="001754DD"/>
    <w:rsid w:val="00176811"/>
    <w:rsid w:val="00180374"/>
    <w:rsid w:val="00181632"/>
    <w:rsid w:val="00182110"/>
    <w:rsid w:val="00183C50"/>
    <w:rsid w:val="00184BBA"/>
    <w:rsid w:val="001935B7"/>
    <w:rsid w:val="001A0A09"/>
    <w:rsid w:val="001A1C71"/>
    <w:rsid w:val="001A60CA"/>
    <w:rsid w:val="001B36E9"/>
    <w:rsid w:val="001B76AD"/>
    <w:rsid w:val="001C03AD"/>
    <w:rsid w:val="001C0F8A"/>
    <w:rsid w:val="001C2C45"/>
    <w:rsid w:val="001C5708"/>
    <w:rsid w:val="001C5B36"/>
    <w:rsid w:val="001C670D"/>
    <w:rsid w:val="001E152A"/>
    <w:rsid w:val="001E2A7E"/>
    <w:rsid w:val="001E6E43"/>
    <w:rsid w:val="001F04D9"/>
    <w:rsid w:val="001F1130"/>
    <w:rsid w:val="001F59DA"/>
    <w:rsid w:val="001F6885"/>
    <w:rsid w:val="00212263"/>
    <w:rsid w:val="002123DA"/>
    <w:rsid w:val="00215E7F"/>
    <w:rsid w:val="00216348"/>
    <w:rsid w:val="0022185A"/>
    <w:rsid w:val="002241D3"/>
    <w:rsid w:val="00230774"/>
    <w:rsid w:val="002313B7"/>
    <w:rsid w:val="00231DC1"/>
    <w:rsid w:val="00232848"/>
    <w:rsid w:val="00241D93"/>
    <w:rsid w:val="0024239F"/>
    <w:rsid w:val="00242A82"/>
    <w:rsid w:val="002453AB"/>
    <w:rsid w:val="00247BE0"/>
    <w:rsid w:val="00252415"/>
    <w:rsid w:val="00254305"/>
    <w:rsid w:val="00257F8A"/>
    <w:rsid w:val="00262EF9"/>
    <w:rsid w:val="002663AD"/>
    <w:rsid w:val="00267C42"/>
    <w:rsid w:val="0027020E"/>
    <w:rsid w:val="002710F0"/>
    <w:rsid w:val="00271D4E"/>
    <w:rsid w:val="00282BA7"/>
    <w:rsid w:val="00287180"/>
    <w:rsid w:val="00296A1F"/>
    <w:rsid w:val="002A14EF"/>
    <w:rsid w:val="002A2473"/>
    <w:rsid w:val="002A312F"/>
    <w:rsid w:val="002A4461"/>
    <w:rsid w:val="002A5157"/>
    <w:rsid w:val="002A6AC8"/>
    <w:rsid w:val="002A7D83"/>
    <w:rsid w:val="002B0ACA"/>
    <w:rsid w:val="002B3768"/>
    <w:rsid w:val="002B7E81"/>
    <w:rsid w:val="002B7EB7"/>
    <w:rsid w:val="002D7676"/>
    <w:rsid w:val="002E0B67"/>
    <w:rsid w:val="002E1169"/>
    <w:rsid w:val="002E7DBE"/>
    <w:rsid w:val="003006AB"/>
    <w:rsid w:val="00306CF0"/>
    <w:rsid w:val="00310732"/>
    <w:rsid w:val="00311F3F"/>
    <w:rsid w:val="00316B15"/>
    <w:rsid w:val="0032192E"/>
    <w:rsid w:val="00330852"/>
    <w:rsid w:val="003310C2"/>
    <w:rsid w:val="00332F24"/>
    <w:rsid w:val="00336FAA"/>
    <w:rsid w:val="00340A9C"/>
    <w:rsid w:val="00347F07"/>
    <w:rsid w:val="003527C7"/>
    <w:rsid w:val="00357E3E"/>
    <w:rsid w:val="00360C0D"/>
    <w:rsid w:val="00370AF4"/>
    <w:rsid w:val="003812EB"/>
    <w:rsid w:val="00381320"/>
    <w:rsid w:val="003846D9"/>
    <w:rsid w:val="003942FD"/>
    <w:rsid w:val="003A1A2E"/>
    <w:rsid w:val="003A2026"/>
    <w:rsid w:val="003B18FC"/>
    <w:rsid w:val="003C0124"/>
    <w:rsid w:val="003C1A5E"/>
    <w:rsid w:val="003C331E"/>
    <w:rsid w:val="003D2C2C"/>
    <w:rsid w:val="003E0B2B"/>
    <w:rsid w:val="003E2081"/>
    <w:rsid w:val="003E20D9"/>
    <w:rsid w:val="003E2FCE"/>
    <w:rsid w:val="003F25C2"/>
    <w:rsid w:val="003F28B3"/>
    <w:rsid w:val="00401F59"/>
    <w:rsid w:val="00402FBE"/>
    <w:rsid w:val="00403D08"/>
    <w:rsid w:val="00405D9B"/>
    <w:rsid w:val="00425AE7"/>
    <w:rsid w:val="004316A8"/>
    <w:rsid w:val="00435EB3"/>
    <w:rsid w:val="00436439"/>
    <w:rsid w:val="004414AC"/>
    <w:rsid w:val="00442719"/>
    <w:rsid w:val="00447D60"/>
    <w:rsid w:val="0045651F"/>
    <w:rsid w:val="004611E1"/>
    <w:rsid w:val="00462B75"/>
    <w:rsid w:val="004645F3"/>
    <w:rsid w:val="00472756"/>
    <w:rsid w:val="004854E5"/>
    <w:rsid w:val="004861E7"/>
    <w:rsid w:val="00486268"/>
    <w:rsid w:val="00487656"/>
    <w:rsid w:val="0049077F"/>
    <w:rsid w:val="00490B2C"/>
    <w:rsid w:val="004915F3"/>
    <w:rsid w:val="00493DBD"/>
    <w:rsid w:val="004A0C78"/>
    <w:rsid w:val="004A38B9"/>
    <w:rsid w:val="004A5703"/>
    <w:rsid w:val="004A5A21"/>
    <w:rsid w:val="004A61A5"/>
    <w:rsid w:val="004B2E57"/>
    <w:rsid w:val="004B3FB4"/>
    <w:rsid w:val="004C4ECA"/>
    <w:rsid w:val="004D21E9"/>
    <w:rsid w:val="004D6207"/>
    <w:rsid w:val="004D7F30"/>
    <w:rsid w:val="004F31F6"/>
    <w:rsid w:val="004F4186"/>
    <w:rsid w:val="00503DE4"/>
    <w:rsid w:val="0050541C"/>
    <w:rsid w:val="00506B89"/>
    <w:rsid w:val="005205DC"/>
    <w:rsid w:val="00521B1D"/>
    <w:rsid w:val="00522A80"/>
    <w:rsid w:val="00527D54"/>
    <w:rsid w:val="005374CA"/>
    <w:rsid w:val="00544418"/>
    <w:rsid w:val="00544F30"/>
    <w:rsid w:val="005471C1"/>
    <w:rsid w:val="00555DBF"/>
    <w:rsid w:val="00561BA4"/>
    <w:rsid w:val="00562CA3"/>
    <w:rsid w:val="00564508"/>
    <w:rsid w:val="00565B25"/>
    <w:rsid w:val="00570D68"/>
    <w:rsid w:val="00573459"/>
    <w:rsid w:val="00574D12"/>
    <w:rsid w:val="005766AA"/>
    <w:rsid w:val="00591570"/>
    <w:rsid w:val="005A5B6E"/>
    <w:rsid w:val="005A6287"/>
    <w:rsid w:val="005B3E5F"/>
    <w:rsid w:val="005C1F24"/>
    <w:rsid w:val="005C2427"/>
    <w:rsid w:val="005C6320"/>
    <w:rsid w:val="005D41E6"/>
    <w:rsid w:val="005E13FB"/>
    <w:rsid w:val="005F1913"/>
    <w:rsid w:val="005F6B10"/>
    <w:rsid w:val="00602F0E"/>
    <w:rsid w:val="006069AA"/>
    <w:rsid w:val="00610C20"/>
    <w:rsid w:val="00613C4F"/>
    <w:rsid w:val="00615A37"/>
    <w:rsid w:val="0061751E"/>
    <w:rsid w:val="0062034C"/>
    <w:rsid w:val="00620F98"/>
    <w:rsid w:val="006224F8"/>
    <w:rsid w:val="00623402"/>
    <w:rsid w:val="006274DB"/>
    <w:rsid w:val="00631F34"/>
    <w:rsid w:val="00641117"/>
    <w:rsid w:val="006419B0"/>
    <w:rsid w:val="006533A8"/>
    <w:rsid w:val="00655009"/>
    <w:rsid w:val="00660398"/>
    <w:rsid w:val="006609B5"/>
    <w:rsid w:val="00666BD2"/>
    <w:rsid w:val="006704F2"/>
    <w:rsid w:val="00681923"/>
    <w:rsid w:val="0068312A"/>
    <w:rsid w:val="00695DA8"/>
    <w:rsid w:val="006A0246"/>
    <w:rsid w:val="006A0B63"/>
    <w:rsid w:val="006A0CC8"/>
    <w:rsid w:val="006A1B0E"/>
    <w:rsid w:val="006A788C"/>
    <w:rsid w:val="006A7D40"/>
    <w:rsid w:val="006B72AB"/>
    <w:rsid w:val="006C68E2"/>
    <w:rsid w:val="006D150D"/>
    <w:rsid w:val="006E07EC"/>
    <w:rsid w:val="006E18C8"/>
    <w:rsid w:val="006F1E2E"/>
    <w:rsid w:val="006F3233"/>
    <w:rsid w:val="006F3F6F"/>
    <w:rsid w:val="007052B7"/>
    <w:rsid w:val="00706A9A"/>
    <w:rsid w:val="00715AD7"/>
    <w:rsid w:val="00723C3A"/>
    <w:rsid w:val="00730A11"/>
    <w:rsid w:val="00741337"/>
    <w:rsid w:val="0074370D"/>
    <w:rsid w:val="007441AE"/>
    <w:rsid w:val="00745538"/>
    <w:rsid w:val="0074676B"/>
    <w:rsid w:val="007514FE"/>
    <w:rsid w:val="00751D88"/>
    <w:rsid w:val="00753B99"/>
    <w:rsid w:val="00757E40"/>
    <w:rsid w:val="00767B0D"/>
    <w:rsid w:val="007948EC"/>
    <w:rsid w:val="00794BE0"/>
    <w:rsid w:val="007958F7"/>
    <w:rsid w:val="007A2443"/>
    <w:rsid w:val="007B789C"/>
    <w:rsid w:val="007B7C61"/>
    <w:rsid w:val="007C5B3B"/>
    <w:rsid w:val="007C5E4F"/>
    <w:rsid w:val="007D23F3"/>
    <w:rsid w:val="007D7700"/>
    <w:rsid w:val="007E5694"/>
    <w:rsid w:val="007E745F"/>
    <w:rsid w:val="007F41D7"/>
    <w:rsid w:val="007F6E79"/>
    <w:rsid w:val="007F6F38"/>
    <w:rsid w:val="008042FB"/>
    <w:rsid w:val="008064CE"/>
    <w:rsid w:val="00823960"/>
    <w:rsid w:val="0082488A"/>
    <w:rsid w:val="00826D08"/>
    <w:rsid w:val="00833E2D"/>
    <w:rsid w:val="00834B4A"/>
    <w:rsid w:val="00836707"/>
    <w:rsid w:val="0084085C"/>
    <w:rsid w:val="00847F2E"/>
    <w:rsid w:val="00851A6C"/>
    <w:rsid w:val="008522CD"/>
    <w:rsid w:val="008660D6"/>
    <w:rsid w:val="008720CD"/>
    <w:rsid w:val="008744A6"/>
    <w:rsid w:val="00877558"/>
    <w:rsid w:val="00890B33"/>
    <w:rsid w:val="00893EE0"/>
    <w:rsid w:val="0089596D"/>
    <w:rsid w:val="008A6B05"/>
    <w:rsid w:val="008B0EFA"/>
    <w:rsid w:val="008B196D"/>
    <w:rsid w:val="008B1B18"/>
    <w:rsid w:val="008B1D2B"/>
    <w:rsid w:val="008B620F"/>
    <w:rsid w:val="008C26B4"/>
    <w:rsid w:val="008C60C9"/>
    <w:rsid w:val="008C71EE"/>
    <w:rsid w:val="008C7CDC"/>
    <w:rsid w:val="008D0061"/>
    <w:rsid w:val="008E1B30"/>
    <w:rsid w:val="008E210B"/>
    <w:rsid w:val="008E4B61"/>
    <w:rsid w:val="008E6C2D"/>
    <w:rsid w:val="008F122E"/>
    <w:rsid w:val="008F24D5"/>
    <w:rsid w:val="009075AC"/>
    <w:rsid w:val="00907A45"/>
    <w:rsid w:val="00917869"/>
    <w:rsid w:val="009275B6"/>
    <w:rsid w:val="00930412"/>
    <w:rsid w:val="009344D8"/>
    <w:rsid w:val="00934DC0"/>
    <w:rsid w:val="00947386"/>
    <w:rsid w:val="00947674"/>
    <w:rsid w:val="00953CB2"/>
    <w:rsid w:val="00955B7B"/>
    <w:rsid w:val="00966B33"/>
    <w:rsid w:val="0097086D"/>
    <w:rsid w:val="00981ED0"/>
    <w:rsid w:val="009902D7"/>
    <w:rsid w:val="0099530E"/>
    <w:rsid w:val="0099658C"/>
    <w:rsid w:val="009A5224"/>
    <w:rsid w:val="009A5996"/>
    <w:rsid w:val="009B0FDC"/>
    <w:rsid w:val="009B2C32"/>
    <w:rsid w:val="009B757C"/>
    <w:rsid w:val="009C6589"/>
    <w:rsid w:val="009C7C91"/>
    <w:rsid w:val="009D02AB"/>
    <w:rsid w:val="009D286F"/>
    <w:rsid w:val="009D2D9C"/>
    <w:rsid w:val="009D5243"/>
    <w:rsid w:val="009D6E5B"/>
    <w:rsid w:val="009E6455"/>
    <w:rsid w:val="009F3D49"/>
    <w:rsid w:val="00A0360F"/>
    <w:rsid w:val="00A10C30"/>
    <w:rsid w:val="00A134D8"/>
    <w:rsid w:val="00A2084E"/>
    <w:rsid w:val="00A259B6"/>
    <w:rsid w:val="00A31C93"/>
    <w:rsid w:val="00A43F3B"/>
    <w:rsid w:val="00A448A6"/>
    <w:rsid w:val="00A46146"/>
    <w:rsid w:val="00A5143F"/>
    <w:rsid w:val="00A53B9E"/>
    <w:rsid w:val="00A53F0B"/>
    <w:rsid w:val="00A573F2"/>
    <w:rsid w:val="00A575FB"/>
    <w:rsid w:val="00A63DFC"/>
    <w:rsid w:val="00A669FF"/>
    <w:rsid w:val="00A7159F"/>
    <w:rsid w:val="00A73D4A"/>
    <w:rsid w:val="00A761B7"/>
    <w:rsid w:val="00A83FDC"/>
    <w:rsid w:val="00A87895"/>
    <w:rsid w:val="00A905C5"/>
    <w:rsid w:val="00A92749"/>
    <w:rsid w:val="00A943FF"/>
    <w:rsid w:val="00AA0242"/>
    <w:rsid w:val="00AA292A"/>
    <w:rsid w:val="00AB0342"/>
    <w:rsid w:val="00AB65D6"/>
    <w:rsid w:val="00AB7F5E"/>
    <w:rsid w:val="00AD01B0"/>
    <w:rsid w:val="00AE0A6C"/>
    <w:rsid w:val="00AE1C36"/>
    <w:rsid w:val="00AF1A66"/>
    <w:rsid w:val="00B01519"/>
    <w:rsid w:val="00B0161D"/>
    <w:rsid w:val="00B038D8"/>
    <w:rsid w:val="00B03C29"/>
    <w:rsid w:val="00B079DF"/>
    <w:rsid w:val="00B11A4E"/>
    <w:rsid w:val="00B146A7"/>
    <w:rsid w:val="00B14C69"/>
    <w:rsid w:val="00B1554C"/>
    <w:rsid w:val="00B25051"/>
    <w:rsid w:val="00B25EF1"/>
    <w:rsid w:val="00B26227"/>
    <w:rsid w:val="00B321C1"/>
    <w:rsid w:val="00B326ED"/>
    <w:rsid w:val="00B37FDD"/>
    <w:rsid w:val="00B51222"/>
    <w:rsid w:val="00B516FE"/>
    <w:rsid w:val="00B533BE"/>
    <w:rsid w:val="00B56A1F"/>
    <w:rsid w:val="00B67BB9"/>
    <w:rsid w:val="00B80023"/>
    <w:rsid w:val="00B84538"/>
    <w:rsid w:val="00B91493"/>
    <w:rsid w:val="00B96631"/>
    <w:rsid w:val="00B96CA9"/>
    <w:rsid w:val="00BA146E"/>
    <w:rsid w:val="00BB3903"/>
    <w:rsid w:val="00BB6842"/>
    <w:rsid w:val="00BC0D32"/>
    <w:rsid w:val="00BC458E"/>
    <w:rsid w:val="00BD18FC"/>
    <w:rsid w:val="00BD3DF8"/>
    <w:rsid w:val="00BD43C5"/>
    <w:rsid w:val="00BE56ED"/>
    <w:rsid w:val="00BF21AA"/>
    <w:rsid w:val="00BF2DC8"/>
    <w:rsid w:val="00BF7AC4"/>
    <w:rsid w:val="00C017AC"/>
    <w:rsid w:val="00C172C9"/>
    <w:rsid w:val="00C248B8"/>
    <w:rsid w:val="00C37299"/>
    <w:rsid w:val="00C41AAB"/>
    <w:rsid w:val="00C50632"/>
    <w:rsid w:val="00C53A43"/>
    <w:rsid w:val="00C542C6"/>
    <w:rsid w:val="00C62367"/>
    <w:rsid w:val="00C7140B"/>
    <w:rsid w:val="00C7778F"/>
    <w:rsid w:val="00C77BDF"/>
    <w:rsid w:val="00C85DC6"/>
    <w:rsid w:val="00C927D2"/>
    <w:rsid w:val="00C9357F"/>
    <w:rsid w:val="00CB0658"/>
    <w:rsid w:val="00CB4C91"/>
    <w:rsid w:val="00CB7575"/>
    <w:rsid w:val="00CD2D0C"/>
    <w:rsid w:val="00CD7ADB"/>
    <w:rsid w:val="00CE2F2C"/>
    <w:rsid w:val="00CE4D4D"/>
    <w:rsid w:val="00CF3974"/>
    <w:rsid w:val="00CF53E3"/>
    <w:rsid w:val="00D00B8D"/>
    <w:rsid w:val="00D04447"/>
    <w:rsid w:val="00D04E28"/>
    <w:rsid w:val="00D0608D"/>
    <w:rsid w:val="00D10EE7"/>
    <w:rsid w:val="00D16906"/>
    <w:rsid w:val="00D26857"/>
    <w:rsid w:val="00D27779"/>
    <w:rsid w:val="00D301C9"/>
    <w:rsid w:val="00D35189"/>
    <w:rsid w:val="00D3781E"/>
    <w:rsid w:val="00D466F5"/>
    <w:rsid w:val="00D50412"/>
    <w:rsid w:val="00D53111"/>
    <w:rsid w:val="00D565F0"/>
    <w:rsid w:val="00D62507"/>
    <w:rsid w:val="00D64330"/>
    <w:rsid w:val="00D77029"/>
    <w:rsid w:val="00D8726A"/>
    <w:rsid w:val="00D92F67"/>
    <w:rsid w:val="00D945DF"/>
    <w:rsid w:val="00DA72F8"/>
    <w:rsid w:val="00DB0334"/>
    <w:rsid w:val="00DB123E"/>
    <w:rsid w:val="00DB6068"/>
    <w:rsid w:val="00DB76D5"/>
    <w:rsid w:val="00DB7903"/>
    <w:rsid w:val="00DC03AA"/>
    <w:rsid w:val="00DC5279"/>
    <w:rsid w:val="00DD212E"/>
    <w:rsid w:val="00DD4285"/>
    <w:rsid w:val="00DD6E26"/>
    <w:rsid w:val="00DE13AC"/>
    <w:rsid w:val="00DE4E5F"/>
    <w:rsid w:val="00DF15B2"/>
    <w:rsid w:val="00DF7C73"/>
    <w:rsid w:val="00E04BD5"/>
    <w:rsid w:val="00E05D4E"/>
    <w:rsid w:val="00E12598"/>
    <w:rsid w:val="00E324DF"/>
    <w:rsid w:val="00E33CF5"/>
    <w:rsid w:val="00E34A7E"/>
    <w:rsid w:val="00E438D9"/>
    <w:rsid w:val="00E50FBA"/>
    <w:rsid w:val="00E52D37"/>
    <w:rsid w:val="00E61719"/>
    <w:rsid w:val="00E628EF"/>
    <w:rsid w:val="00E67E1F"/>
    <w:rsid w:val="00E71EFD"/>
    <w:rsid w:val="00E7215E"/>
    <w:rsid w:val="00E73700"/>
    <w:rsid w:val="00E76EC3"/>
    <w:rsid w:val="00E80169"/>
    <w:rsid w:val="00E83F3E"/>
    <w:rsid w:val="00E8728F"/>
    <w:rsid w:val="00E90182"/>
    <w:rsid w:val="00E94D97"/>
    <w:rsid w:val="00E96D0B"/>
    <w:rsid w:val="00E97F67"/>
    <w:rsid w:val="00EA3655"/>
    <w:rsid w:val="00EA4C64"/>
    <w:rsid w:val="00EA51F7"/>
    <w:rsid w:val="00EA72F3"/>
    <w:rsid w:val="00EB6DA3"/>
    <w:rsid w:val="00EC7130"/>
    <w:rsid w:val="00ED5AF6"/>
    <w:rsid w:val="00ED6257"/>
    <w:rsid w:val="00EE0B78"/>
    <w:rsid w:val="00EE1737"/>
    <w:rsid w:val="00EE57B2"/>
    <w:rsid w:val="00EE661B"/>
    <w:rsid w:val="00EE6FF6"/>
    <w:rsid w:val="00EF13C2"/>
    <w:rsid w:val="00F00F5A"/>
    <w:rsid w:val="00F06162"/>
    <w:rsid w:val="00F06CD7"/>
    <w:rsid w:val="00F07942"/>
    <w:rsid w:val="00F116C6"/>
    <w:rsid w:val="00F11D34"/>
    <w:rsid w:val="00F20525"/>
    <w:rsid w:val="00F224D5"/>
    <w:rsid w:val="00F30D57"/>
    <w:rsid w:val="00F312D0"/>
    <w:rsid w:val="00F316B0"/>
    <w:rsid w:val="00F3209A"/>
    <w:rsid w:val="00F452B3"/>
    <w:rsid w:val="00F513A8"/>
    <w:rsid w:val="00F62524"/>
    <w:rsid w:val="00F673A7"/>
    <w:rsid w:val="00F725E3"/>
    <w:rsid w:val="00F72A5E"/>
    <w:rsid w:val="00F73041"/>
    <w:rsid w:val="00F74EA2"/>
    <w:rsid w:val="00F97CB9"/>
    <w:rsid w:val="00FA0A98"/>
    <w:rsid w:val="00FA1EF5"/>
    <w:rsid w:val="00FA335A"/>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7697"/>
  <w15:docId w15:val="{0097964C-C14B-4F08-81E7-3C7050F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F7AC4"/>
    <w:pPr>
      <w:tabs>
        <w:tab w:val="right" w:leader="dot" w:pos="10070"/>
      </w:tabs>
      <w:spacing w:before="240" w:after="120"/>
    </w:pPr>
    <w:rPr>
      <w:rFonts w:asciiTheme="minorHAnsi" w:hAnsiTheme="minorHAnsi" w:cstheme="minorHAnsi"/>
      <w:b/>
      <w:bCs/>
      <w:noProof/>
      <w:sz w:val="28"/>
      <w:szCs w:val="28"/>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BF7AC4"/>
    <w:pPr>
      <w:tabs>
        <w:tab w:val="right" w:leader="dot" w:pos="10070"/>
      </w:tabs>
      <w:spacing w:before="120"/>
      <w:ind w:left="240"/>
    </w:pPr>
    <w:rPr>
      <w:rFonts w:asciiTheme="minorHAnsi" w:hAnsiTheme="minorHAnsi" w:cstheme="minorHAnsi"/>
      <w:i/>
      <w:iCs/>
      <w:noProof/>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3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 w:type="character" w:styleId="UnresolvedMention">
    <w:name w:val="Unresolved Mention"/>
    <w:basedOn w:val="DefaultParagraphFont"/>
    <w:uiPriority w:val="99"/>
    <w:semiHidden/>
    <w:unhideWhenUsed/>
    <w:rsid w:val="00B37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484974702">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d.dli.mt.gov/workers-comp-claims-assistance/medical-regulations/montana-facility-fee-schedule/19-erd/workers-comp-study-project/269-montana-facility-fee-schedule-archiv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677E94C911B4B99989ABBED4AE68C" ma:contentTypeVersion="12" ma:contentTypeDescription="Create a new document." ma:contentTypeScope="" ma:versionID="11caaaaffe3d76d592295a1fea2511f2">
  <xsd:schema xmlns:xsd="http://www.w3.org/2001/XMLSchema" xmlns:xs="http://www.w3.org/2001/XMLSchema" xmlns:p="http://schemas.microsoft.com/office/2006/metadata/properties" xmlns:ns1="http://schemas.microsoft.com/sharepoint/v3" xmlns:ns3="4b8449e5-d213-4bdf-9dc6-336bd6cd0900" xmlns:ns4="f152d2af-0d6e-45b7-95ae-dbef212f031e" targetNamespace="http://schemas.microsoft.com/office/2006/metadata/properties" ma:root="true" ma:fieldsID="d7144efc3c664ecb9ed99ff8fe2726fd" ns1:_="" ns3:_="" ns4:_="">
    <xsd:import namespace="http://schemas.microsoft.com/sharepoint/v3"/>
    <xsd:import namespace="4b8449e5-d213-4bdf-9dc6-336bd6cd0900"/>
    <xsd:import namespace="f152d2af-0d6e-45b7-95ae-dbef212f0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49e5-d213-4bdf-9dc6-336bd6cd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2d2af-0d6e-45b7-95ae-dbef212f03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A0876-DCCB-437A-933C-0D819F09C2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086839-BD76-4DCE-87A2-5035807CB91B}">
  <ds:schemaRefs>
    <ds:schemaRef ds:uri="http://schemas.openxmlformats.org/officeDocument/2006/bibliography"/>
  </ds:schemaRefs>
</ds:datastoreItem>
</file>

<file path=customXml/itemProps3.xml><?xml version="1.0" encoding="utf-8"?>
<ds:datastoreItem xmlns:ds="http://schemas.openxmlformats.org/officeDocument/2006/customXml" ds:itemID="{9799BB45-4F48-44E9-9CB7-787D70965F54}">
  <ds:schemaRefs>
    <ds:schemaRef ds:uri="http://schemas.microsoft.com/sharepoint/v3/contenttype/forms"/>
  </ds:schemaRefs>
</ds:datastoreItem>
</file>

<file path=customXml/itemProps4.xml><?xml version="1.0" encoding="utf-8"?>
<ds:datastoreItem xmlns:ds="http://schemas.openxmlformats.org/officeDocument/2006/customXml" ds:itemID="{7605B07E-7975-407C-885D-D5DA3760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9e5-d213-4bdf-9dc6-336bd6cd0900"/>
    <ds:schemaRef ds:uri="f152d2af-0d6e-45b7-95ae-dbef212f0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35602</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ce0278</dc:creator>
  <cp:lastModifiedBy>Shupe, Trisha</cp:lastModifiedBy>
  <cp:revision>2</cp:revision>
  <cp:lastPrinted>2018-02-26T18:42:00Z</cp:lastPrinted>
  <dcterms:created xsi:type="dcterms:W3CDTF">2024-04-05T16:46:00Z</dcterms:created>
  <dcterms:modified xsi:type="dcterms:W3CDTF">2024-04-05T16:46:00Z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0x010100D9A677E94C911B4B99989ABBED4AE68C</vt:lpwstr>
  </property>
</Properties>
</file>